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E0045A" w:rsidRDefault="00E0045A">
      <w:pPr>
        <w:pStyle w:val="a3"/>
        <w:rPr>
          <w:rFonts w:ascii="Times New Roman"/>
          <w:sz w:val="20"/>
        </w:rPr>
      </w:pPr>
    </w:p>
    <w:p w:rsidR="00AA3915" w:rsidRPr="008523AF" w:rsidRDefault="00360B39" w:rsidP="00AA3915">
      <w:pPr>
        <w:pStyle w:val="a4"/>
        <w:spacing w:before="18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-1171575</wp:posOffset>
            </wp:positionV>
            <wp:extent cx="1477009" cy="1393825"/>
            <wp:effectExtent l="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9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915">
        <w:rPr>
          <w:spacing w:val="-2"/>
          <w:lang w:val="ru-RU"/>
        </w:rPr>
        <w:t xml:space="preserve"> </w:t>
      </w:r>
      <w:r w:rsidR="00AA3915" w:rsidRPr="00AA3915">
        <w:rPr>
          <w:lang w:val="ru-RU"/>
        </w:rPr>
        <w:t>НОВЫ</w:t>
      </w:r>
      <w:r w:rsidR="00AA3915">
        <w:rPr>
          <w:lang w:val="ru-RU"/>
        </w:rPr>
        <w:t>Е</w:t>
      </w:r>
      <w:r w:rsidR="00AA3915" w:rsidRPr="00AA3915">
        <w:rPr>
          <w:lang w:val="ru-RU"/>
        </w:rPr>
        <w:t xml:space="preserve"> ЕВРОПЕЙСКИ</w:t>
      </w:r>
      <w:r w:rsidR="00AA3915">
        <w:rPr>
          <w:lang w:val="ru-RU"/>
        </w:rPr>
        <w:t>Е</w:t>
      </w:r>
      <w:r w:rsidR="00AA3915" w:rsidRPr="00AA3915">
        <w:rPr>
          <w:lang w:val="ru-RU"/>
        </w:rPr>
        <w:t xml:space="preserve"> </w:t>
      </w:r>
      <w:r w:rsidR="008523AF">
        <w:rPr>
          <w:lang w:val="ru-RU"/>
        </w:rPr>
        <w:t>«БАУХАУС</w:t>
      </w:r>
      <w:bookmarkStart w:id="0" w:name="_GoBack"/>
      <w:bookmarkEnd w:id="0"/>
      <w:r w:rsidR="008523AF">
        <w:rPr>
          <w:lang w:val="ru-RU"/>
        </w:rPr>
        <w:t>»</w:t>
      </w:r>
    </w:p>
    <w:p w:rsidR="00AA3915" w:rsidRPr="00AA3915" w:rsidRDefault="00AA3915" w:rsidP="00AA3915">
      <w:pPr>
        <w:pStyle w:val="a4"/>
        <w:spacing w:before="183"/>
        <w:rPr>
          <w:lang w:val="ru-RU"/>
        </w:rPr>
      </w:pPr>
      <w:r w:rsidRPr="00AA3915">
        <w:rPr>
          <w:lang w:val="ru-RU"/>
        </w:rPr>
        <w:t>должны быть основаны на качественных закупках:</w:t>
      </w:r>
    </w:p>
    <w:p w:rsidR="00E0045A" w:rsidRPr="00AA3915" w:rsidRDefault="00AA3915" w:rsidP="00AA3915">
      <w:pPr>
        <w:pStyle w:val="a4"/>
        <w:spacing w:before="183"/>
        <w:rPr>
          <w:b w:val="0"/>
          <w:lang w:val="ru-RU"/>
        </w:rPr>
      </w:pPr>
      <w:r w:rsidRPr="00AA3915">
        <w:rPr>
          <w:lang w:val="ru-RU"/>
        </w:rPr>
        <w:t xml:space="preserve">Реализация целей Зеленого курса и Инициативы </w:t>
      </w:r>
      <w:proofErr w:type="spellStart"/>
      <w:r w:rsidRPr="00AA3915">
        <w:rPr>
          <w:lang w:val="ru-RU"/>
        </w:rPr>
        <w:t>Баухаус</w:t>
      </w:r>
      <w:proofErr w:type="spellEnd"/>
      <w:r w:rsidRPr="00AA3915">
        <w:rPr>
          <w:lang w:val="ru-RU"/>
        </w:rPr>
        <w:t xml:space="preserve"> в строительном секторе на повседневной основе в Европе требует открытых и ориентированных на качество процедур закупок для планирования услуг. Обязательное применение принципа наилучшей цены (</w:t>
      </w:r>
      <w:r>
        <w:t>MEAT</w:t>
      </w:r>
      <w:r w:rsidRPr="00AA3915">
        <w:rPr>
          <w:lang w:val="ru-RU"/>
        </w:rPr>
        <w:t>) для услуг по планированию должно быть реализовано по всей Европе.</w:t>
      </w:r>
    </w:p>
    <w:p w:rsidR="00E0045A" w:rsidRPr="00AA3915" w:rsidRDefault="00E0045A">
      <w:pPr>
        <w:pStyle w:val="a3"/>
        <w:spacing w:before="11"/>
        <w:rPr>
          <w:b/>
          <w:sz w:val="27"/>
          <w:lang w:val="ru-RU"/>
        </w:rPr>
      </w:pPr>
    </w:p>
    <w:p w:rsidR="00E0045A" w:rsidRPr="00AA3915" w:rsidRDefault="00AA3915" w:rsidP="00AA3915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rPr>
          <w:b/>
          <w:lang w:val="ru-RU"/>
        </w:rPr>
      </w:pPr>
      <w:r w:rsidRPr="00AA3915">
        <w:rPr>
          <w:b/>
          <w:lang w:val="ru-RU"/>
        </w:rPr>
        <w:t>Четко определенные и легко применимые экологические критерии в законе о закупках</w:t>
      </w:r>
    </w:p>
    <w:p w:rsidR="00AA3915" w:rsidRDefault="00AA3915" w:rsidP="008A771E">
      <w:pPr>
        <w:tabs>
          <w:tab w:val="left" w:pos="924"/>
          <w:tab w:val="left" w:pos="925"/>
        </w:tabs>
        <w:rPr>
          <w:lang w:val="ru-RU"/>
        </w:rPr>
      </w:pPr>
      <w:r w:rsidRPr="008A771E">
        <w:rPr>
          <w:lang w:val="ru-RU"/>
        </w:rPr>
        <w:t>Хотя есть страны, которые уже применяют обязательные критерии устойчивости в своих процедурах закупок, результаты во многих случаях неутешительны. Это связано с тем, что во многих случаях критерии неясны и их очень сложно применять.</w:t>
      </w:r>
    </w:p>
    <w:p w:rsidR="008A771E" w:rsidRPr="008A771E" w:rsidRDefault="008A771E" w:rsidP="008A771E">
      <w:pPr>
        <w:tabs>
          <w:tab w:val="left" w:pos="924"/>
          <w:tab w:val="left" w:pos="925"/>
        </w:tabs>
        <w:rPr>
          <w:lang w:val="ru-RU"/>
        </w:rPr>
      </w:pPr>
    </w:p>
    <w:p w:rsidR="00E0045A" w:rsidRPr="00AA3915" w:rsidRDefault="00AA3915" w:rsidP="008A771E">
      <w:pPr>
        <w:pStyle w:val="a3"/>
        <w:rPr>
          <w:sz w:val="19"/>
          <w:lang w:val="ru-RU"/>
        </w:rPr>
      </w:pPr>
      <w:r w:rsidRPr="00AA3915">
        <w:rPr>
          <w:lang w:val="ru-RU"/>
        </w:rPr>
        <w:t>Чтобы обеспечить широкое применение экологических критериев в проектах по всей Европе, необходимо будет сформулировать легко управляемые и применимые минимальные экологические критерии для материалов, которые будут использоваться на строительной площадке. Такое решение преследует две цели: отдать предпочтение экологически чистой и устойчивой продукции и в то же время решить будущие проблемы утилизации, с которыми нашим потомкам придется бороться, если мы продолжим иметь дело с таким большим количеством пластиковых изделий в строительстве.</w:t>
      </w:r>
    </w:p>
    <w:p w:rsidR="00E0045A" w:rsidRPr="00AA3915" w:rsidRDefault="00AA3915">
      <w:pPr>
        <w:pStyle w:val="a3"/>
        <w:spacing w:before="1"/>
        <w:rPr>
          <w:sz w:val="26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15pt;margin-top:15.55pt;width:465pt;height:29.4pt;z-index:-15728640;mso-wrap-distance-left:0;mso-wrap-distance-right:0;mso-position-horizontal-relative:page" filled="f" strokeweight=".48pt">
            <v:textbox inset="0,0,0,0">
              <w:txbxContent>
                <w:p w:rsidR="00E0045A" w:rsidRPr="00AA3915" w:rsidRDefault="00AA3915">
                  <w:pPr>
                    <w:spacing w:before="18"/>
                    <w:ind w:left="108" w:right="894"/>
                    <w:rPr>
                      <w:b/>
                      <w:i/>
                      <w:lang w:val="ru-RU"/>
                    </w:rPr>
                  </w:pPr>
                  <w:r w:rsidRPr="00AA3915">
                    <w:rPr>
                      <w:b/>
                      <w:i/>
                    </w:rPr>
                    <w:t>ECEC</w:t>
                  </w:r>
                  <w:r w:rsidRPr="00AA3915">
                    <w:rPr>
                      <w:b/>
                      <w:i/>
                      <w:lang w:val="ru-RU"/>
                    </w:rPr>
                    <w:t xml:space="preserve"> готов внести свой вклад в такой подход, опираясь на знания и опыт европейских дипломированных инженерных консультантов.</w:t>
                  </w:r>
                </w:p>
              </w:txbxContent>
            </v:textbox>
            <w10:wrap type="topAndBottom" anchorx="page"/>
          </v:shape>
        </w:pict>
      </w:r>
    </w:p>
    <w:p w:rsidR="00E0045A" w:rsidRPr="00AA3915" w:rsidRDefault="00AA3915" w:rsidP="00AA3915">
      <w:pPr>
        <w:pStyle w:val="1"/>
        <w:numPr>
          <w:ilvl w:val="0"/>
          <w:numId w:val="1"/>
        </w:numPr>
        <w:tabs>
          <w:tab w:val="left" w:pos="924"/>
          <w:tab w:val="left" w:pos="925"/>
        </w:tabs>
        <w:spacing w:before="101"/>
        <w:rPr>
          <w:lang w:val="ru-RU"/>
        </w:rPr>
      </w:pPr>
      <w:r w:rsidRPr="00AA3915">
        <w:rPr>
          <w:lang w:val="ru-RU"/>
        </w:rPr>
        <w:t>Конкурс качества интеллектуальных инжиниринговых услуг</w:t>
      </w:r>
      <w:r w:rsidR="00360B39" w:rsidRPr="00AA3915">
        <w:rPr>
          <w:lang w:val="ru-RU"/>
        </w:rPr>
        <w:t>:</w:t>
      </w:r>
    </w:p>
    <w:p w:rsidR="00AA3915" w:rsidRPr="00AA3915" w:rsidRDefault="00AA3915" w:rsidP="00AA3915">
      <w:pPr>
        <w:pStyle w:val="a3"/>
        <w:spacing w:before="159" w:line="259" w:lineRule="auto"/>
        <w:ind w:left="216" w:right="659"/>
        <w:rPr>
          <w:lang w:val="ru-RU"/>
        </w:rPr>
      </w:pPr>
      <w:r w:rsidRPr="00AA3915">
        <w:rPr>
          <w:lang w:val="ru-RU"/>
        </w:rPr>
        <w:t>Закупка услуг по планированию должна быть ориентирована на конкурентоспособные и качественные показатели, а не на «самую низкую цену». Устойчивые решения можно выбирать только на основе их содержания, а не их цены. Высокое качество планирования гарантирует не только устойчивые решения, но и является основой для экономии затрат в течение всего жизненного цикла.</w:t>
      </w:r>
    </w:p>
    <w:p w:rsidR="00AA3915" w:rsidRPr="00AA3915" w:rsidRDefault="00AA3915" w:rsidP="00AA3915">
      <w:pPr>
        <w:pStyle w:val="a3"/>
        <w:spacing w:before="159" w:line="259" w:lineRule="auto"/>
        <w:ind w:left="216" w:right="659"/>
        <w:rPr>
          <w:lang w:val="ru-RU"/>
        </w:rPr>
      </w:pPr>
      <w:r w:rsidRPr="00AA3915">
        <w:rPr>
          <w:lang w:val="ru-RU"/>
        </w:rPr>
        <w:t>Если применяется ценовой критерий, ему должен быть присвоен вес в идеале от 10 до максимум 20 процентов: ценовой критерий требует ценового коридора для начисления баллов. Предложения, которых нет</w:t>
      </w:r>
    </w:p>
    <w:p w:rsidR="00AA3915" w:rsidRPr="00AA3915" w:rsidRDefault="00AA3915" w:rsidP="00AA3915">
      <w:pPr>
        <w:pStyle w:val="a3"/>
        <w:spacing w:before="159" w:line="259" w:lineRule="auto"/>
        <w:ind w:left="216" w:right="659"/>
        <w:rPr>
          <w:lang w:val="ru-RU"/>
        </w:rPr>
      </w:pPr>
      <w:r w:rsidRPr="00AA3915">
        <w:rPr>
          <w:lang w:val="ru-RU"/>
        </w:rPr>
        <w:t>Покрытие затрат оказывает негативное влияние на клиентов и общественность, потому что в таких случаях поставщик услуг может / не предоставляет полный спектр необходимых инженерных услуг и, таким образом, наносит ущерб результату проекта и вызывает дополнительные расходы в течение жизненного цикла. Заказчик / закупающий орган не получает необходимого качества для устойчивых решений (Джон Раскин, Общее право делового баланса, обычно выражаемое как «вы получаете то, за что платите»).</w:t>
      </w:r>
    </w:p>
    <w:p w:rsidR="00AA3915" w:rsidRPr="00AA3915" w:rsidRDefault="00AA3915" w:rsidP="00AA3915">
      <w:pPr>
        <w:pStyle w:val="a3"/>
        <w:spacing w:before="159" w:line="259" w:lineRule="auto"/>
        <w:ind w:left="216" w:right="659"/>
        <w:rPr>
          <w:lang w:val="ru-RU"/>
        </w:rPr>
      </w:pPr>
      <w:r w:rsidRPr="00AA3915">
        <w:rPr>
          <w:lang w:val="ru-RU"/>
        </w:rPr>
        <w:t xml:space="preserve">Следовательно, тендеры с анормально заниженной ценой должны быть легко узнаваемы клиентами. Для этого требуются модели услуг и затрат, публикуемые независимыми </w:t>
      </w:r>
      <w:r w:rsidRPr="00AA3915">
        <w:rPr>
          <w:lang w:val="ru-RU"/>
        </w:rPr>
        <w:lastRenderedPageBreak/>
        <w:t>экспертными учреждениями, которые можно использовать для углубленной оценки тендеров.</w:t>
      </w:r>
    </w:p>
    <w:p w:rsidR="00E0045A" w:rsidRPr="00AA3915" w:rsidRDefault="00AA3915" w:rsidP="00AA3915">
      <w:pPr>
        <w:pStyle w:val="a3"/>
        <w:spacing w:before="159" w:line="259" w:lineRule="auto"/>
        <w:ind w:left="216" w:right="659"/>
        <w:rPr>
          <w:lang w:val="ru-RU"/>
        </w:rPr>
      </w:pPr>
      <w:r w:rsidRPr="00AA3915">
        <w:rPr>
          <w:lang w:val="ru-RU"/>
        </w:rPr>
        <w:t xml:space="preserve">Справедливые процедуры государственных закупок, основанные на качестве, также необходимы для достижения экономической эффективности независимых инженеров, подавляющее большинство которых являются МСП или </w:t>
      </w:r>
      <w:proofErr w:type="spellStart"/>
      <w:r w:rsidRPr="00AA3915">
        <w:rPr>
          <w:lang w:val="ru-RU"/>
        </w:rPr>
        <w:t>микропредприятиями</w:t>
      </w:r>
      <w:proofErr w:type="spellEnd"/>
      <w:r w:rsidRPr="00AA3915">
        <w:rPr>
          <w:lang w:val="ru-RU"/>
        </w:rPr>
        <w:t>. Их профессиональная независимость также основана на финансовой независимости, которая позволяет им принимать решения исключительно в интересах клиентов и общественности. Благодаря своей профессиональной независимости и качественному образованию они могут принимать устойчивые решения и предотвращать различные формы «зеленого промаха». Качественная (постоянная) квалификация во многих странах гарантируется законными схемами авторизации (системами предварительного контроля). Отмена этих схем перенесет ответственность на страхование, основанное не на доверии общества, а на максимизации прибыли. «Зеленый курс», основанный исключительно на стремлении к свободному рынку, не увенчается успехом.</w:t>
      </w:r>
    </w:p>
    <w:p w:rsidR="00E0045A" w:rsidRPr="00AA3915" w:rsidRDefault="00360B39">
      <w:pPr>
        <w:pStyle w:val="a3"/>
        <w:rPr>
          <w:sz w:val="10"/>
          <w:lang w:val="ru-RU"/>
        </w:rPr>
      </w:pPr>
      <w:r>
        <w:pict>
          <v:shape id="_x0000_s1027" type="#_x0000_t202" style="position:absolute;margin-left:65.15pt;margin-top:8.3pt;width:465pt;height:45.9pt;z-index:-15727616;mso-wrap-distance-left:0;mso-wrap-distance-right:0;mso-position-horizontal-relative:page" filled="f" strokeweight=".48pt">
            <v:textbox inset="0,0,0,0">
              <w:txbxContent>
                <w:p w:rsidR="00E0045A" w:rsidRPr="00AA3915" w:rsidRDefault="00AA3915">
                  <w:pPr>
                    <w:spacing w:before="18" w:line="259" w:lineRule="auto"/>
                    <w:ind w:left="108" w:right="212"/>
                    <w:rPr>
                      <w:b/>
                      <w:i/>
                      <w:lang w:val="ru-RU"/>
                    </w:rPr>
                  </w:pPr>
                  <w:r w:rsidRPr="00AA3915">
                    <w:rPr>
                      <w:b/>
                      <w:i/>
                    </w:rPr>
                    <w:t>ECEC</w:t>
                  </w:r>
                  <w:r w:rsidRPr="00AA3915">
                    <w:rPr>
                      <w:b/>
                      <w:i/>
                      <w:lang w:val="ru-RU"/>
                    </w:rPr>
                    <w:t xml:space="preserve"> представил руководство по государственным закупкам инженерных услуг - справедливые процедуры для обеспечения успешности проектов (2018 г.) и декларацию о профилях эффективности инженерных услуг: оптимизация затрат и обеспечение качества (2015 г.)</w:t>
                  </w:r>
                </w:p>
              </w:txbxContent>
            </v:textbox>
            <w10:wrap type="topAndBottom" anchorx="page"/>
          </v:shape>
        </w:pict>
      </w:r>
    </w:p>
    <w:p w:rsidR="00E0045A" w:rsidRPr="00AA3915" w:rsidRDefault="00AA3915" w:rsidP="00AA3915">
      <w:pPr>
        <w:pStyle w:val="1"/>
        <w:numPr>
          <w:ilvl w:val="0"/>
          <w:numId w:val="1"/>
        </w:numPr>
        <w:tabs>
          <w:tab w:val="left" w:pos="924"/>
          <w:tab w:val="left" w:pos="925"/>
        </w:tabs>
        <w:spacing w:before="131"/>
        <w:rPr>
          <w:lang w:val="ru-RU"/>
        </w:rPr>
      </w:pPr>
      <w:r w:rsidRPr="00AA3915">
        <w:rPr>
          <w:lang w:val="ru-RU"/>
        </w:rPr>
        <w:t>Методы расчета сметной стоимости закупки для услуг планирования</w:t>
      </w:r>
    </w:p>
    <w:p w:rsidR="00AA3915" w:rsidRPr="00AA3915" w:rsidRDefault="00AA3915" w:rsidP="00AA3915">
      <w:pPr>
        <w:pStyle w:val="a3"/>
        <w:spacing w:before="161" w:line="259" w:lineRule="auto"/>
        <w:ind w:left="216" w:right="637"/>
        <w:rPr>
          <w:lang w:val="ru-RU"/>
        </w:rPr>
      </w:pPr>
      <w:r w:rsidRPr="00AA3915">
        <w:rPr>
          <w:lang w:val="ru-RU"/>
        </w:rPr>
        <w:t xml:space="preserve">Чтобы оценить стоимость закупок, Директива 2014/24 / </w:t>
      </w:r>
      <w:r>
        <w:t>EU</w:t>
      </w:r>
      <w:r w:rsidRPr="00AA3915">
        <w:rPr>
          <w:lang w:val="ru-RU"/>
        </w:rPr>
        <w:t xml:space="preserve"> определяет учет всех затрат, связанных с заказом. Комиссия считает, что все услуги по планированию следует складывать вместе. Необходимо учитывать экономическую или техническую функцию заказа, поэтому он быстро превысит порог в 207 000 евро и потребует проведения тендеров по всей Европе.</w:t>
      </w:r>
    </w:p>
    <w:p w:rsidR="00AA3915" w:rsidRDefault="00AA3915" w:rsidP="00AA3915">
      <w:pPr>
        <w:pStyle w:val="a3"/>
        <w:spacing w:before="161" w:line="259" w:lineRule="auto"/>
        <w:ind w:left="216" w:right="637"/>
      </w:pPr>
      <w:r w:rsidRPr="00AA3915">
        <w:rPr>
          <w:lang w:val="ru-RU"/>
        </w:rPr>
        <w:t xml:space="preserve">Поскольку это часто не соответствует размеру проекта, а также затрудняет доступ на рынок </w:t>
      </w:r>
      <w:proofErr w:type="spellStart"/>
      <w:r w:rsidRPr="00AA3915">
        <w:rPr>
          <w:lang w:val="ru-RU"/>
        </w:rPr>
        <w:t>микропредприятий</w:t>
      </w:r>
      <w:proofErr w:type="spellEnd"/>
      <w:r w:rsidRPr="00AA3915">
        <w:rPr>
          <w:lang w:val="ru-RU"/>
        </w:rPr>
        <w:t xml:space="preserve">, которые часто являются молодыми и инновационными офисами, важно адаптировать Европейскую директиву о закупках 2014/24 ЕС. Оценка стоимости контракта на оказание услуг должна быть рассчитана таким же образом, как и оценка контрактов на государственные поставки.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добавлять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аналогичные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планирования</w:t>
      </w:r>
      <w:proofErr w:type="spellEnd"/>
      <w:r>
        <w:t>.</w:t>
      </w:r>
    </w:p>
    <w:p w:rsidR="00E0045A" w:rsidRPr="00AA3915" w:rsidRDefault="00AA3915" w:rsidP="00AA3915">
      <w:pPr>
        <w:pStyle w:val="a3"/>
        <w:spacing w:before="161" w:line="259" w:lineRule="auto"/>
        <w:ind w:left="216" w:right="637"/>
        <w:rPr>
          <w:lang w:val="ru-RU"/>
        </w:rPr>
      </w:pPr>
      <w:r w:rsidRPr="00AA3915">
        <w:rPr>
          <w:lang w:val="ru-RU"/>
        </w:rPr>
        <w:t>До адаптации Директивы должно потребоваться увеличение порогового значения, особенно для услуг планирования (выводы Совета от 25 ноября 2020 г., которые призывают Комиссию проанализировать экономическое воздействие на внутренний рынок в результате применения пороговых значений и рассмотреть предлагая увеличить существующие пороги в следующем раунде переговоров)</w:t>
      </w:r>
      <w:r w:rsidR="00360B39" w:rsidRPr="00AA3915">
        <w:rPr>
          <w:lang w:val="ru-RU"/>
        </w:rPr>
        <w:t>.</w:t>
      </w:r>
    </w:p>
    <w:p w:rsidR="00E0045A" w:rsidRDefault="00360B39">
      <w:pPr>
        <w:pStyle w:val="a3"/>
        <w:spacing w:before="1"/>
        <w:rPr>
          <w:sz w:val="10"/>
        </w:rPr>
      </w:pPr>
      <w:r>
        <w:pict>
          <v:shape id="_x0000_s1026" type="#_x0000_t202" style="position:absolute;margin-left:65.15pt;margin-top:8.35pt;width:465pt;height:60.4pt;z-index:-15727104;mso-wrap-distance-left:0;mso-wrap-distance-right:0;mso-position-horizontal-relative:page" filled="f" strokeweight=".48pt">
            <v:textbox inset="0,0,0,0">
              <w:txbxContent>
                <w:p w:rsidR="00E0045A" w:rsidRPr="00AA3915" w:rsidRDefault="00AA3915">
                  <w:pPr>
                    <w:spacing w:before="18" w:line="259" w:lineRule="auto"/>
                    <w:ind w:left="108" w:right="387"/>
                    <w:rPr>
                      <w:b/>
                      <w:i/>
                      <w:lang w:val="ru-RU"/>
                    </w:rPr>
                  </w:pPr>
                  <w:r w:rsidRPr="00AA3915">
                    <w:rPr>
                      <w:b/>
                      <w:i/>
                    </w:rPr>
                    <w:t>ECEC</w:t>
                  </w:r>
                  <w:r w:rsidRPr="00AA3915">
                    <w:rPr>
                      <w:b/>
                      <w:i/>
                      <w:lang w:val="ru-RU"/>
                    </w:rPr>
                    <w:t xml:space="preserve"> в этом контексте хотел бы в целом подчеркнуть важность обеспечения того, чтобы регулирование государственных закупок не содержало каких-либо чрезмерных требований, которые часто являются бременем для многих потенциальных поставщиков услуг со структурой МСП. Это может значительно снизить интеллектуальную конкуренцию и, таким образом, помешать созданию идеальных устойчивых решений.</w:t>
                  </w:r>
                </w:p>
              </w:txbxContent>
            </v:textbox>
            <w10:wrap type="topAndBottom" anchorx="page"/>
          </v:shape>
        </w:pict>
      </w:r>
    </w:p>
    <w:sectPr w:rsidR="00E0045A">
      <w:footerReference w:type="default" r:id="rId8"/>
      <w:pgSz w:w="11910" w:h="16840"/>
      <w:pgMar w:top="500" w:right="780" w:bottom="1160" w:left="12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39" w:rsidRDefault="00360B39">
      <w:r>
        <w:separator/>
      </w:r>
    </w:p>
  </w:endnote>
  <w:endnote w:type="continuationSeparator" w:id="0">
    <w:p w:rsidR="00360B39" w:rsidRDefault="0036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5A" w:rsidRDefault="00360B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4pt;margin-top:782.9pt;width:12.15pt;height:14.35pt;z-index:-15779840;mso-position-horizontal-relative:page;mso-position-vertical-relative:page" filled="f" stroked="f">
          <v:textbox inset="0,0,0,0">
            <w:txbxContent>
              <w:p w:rsidR="00E0045A" w:rsidRDefault="00360B39">
                <w:pPr>
                  <w:pStyle w:val="a3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8523AF">
                  <w:rPr>
                    <w:rFonts w:ascii="Arial M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96.7pt;width:437.1pt;height:10.05pt;z-index:-15779328;mso-position-horizontal-relative:page;mso-position-vertical-relative:page" filled="f" stroked="f">
          <v:textbox inset="0,0,0,0">
            <w:txbxContent>
              <w:p w:rsidR="00E0045A" w:rsidRDefault="00360B39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European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Engineers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Chambers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(ECEC)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AISBL</w:t>
                </w:r>
                <w:r>
                  <w:rPr>
                    <w:spacing w:val="3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68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Coudenberg</w:t>
                </w:r>
                <w:proofErr w:type="spellEnd"/>
                <w:r>
                  <w:rPr>
                    <w:sz w:val="16"/>
                  </w:rPr>
                  <w:t xml:space="preserve"> 70,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Brussels, BE</w:t>
                </w:r>
                <w:r>
                  <w:rPr>
                    <w:spacing w:val="6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6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+32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513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75</w:t>
                </w:r>
                <w:r>
                  <w:rPr>
                    <w:spacing w:val="6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68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office@ecec.net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39" w:rsidRDefault="00360B39">
      <w:r>
        <w:separator/>
      </w:r>
    </w:p>
  </w:footnote>
  <w:footnote w:type="continuationSeparator" w:id="0">
    <w:p w:rsidR="00360B39" w:rsidRDefault="0036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3B9C"/>
    <w:multiLevelType w:val="hybridMultilevel"/>
    <w:tmpl w:val="39A613B4"/>
    <w:lvl w:ilvl="0" w:tplc="4FB06CC0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A4C8E4">
      <w:numFmt w:val="bullet"/>
      <w:lvlText w:val="•"/>
      <w:lvlJc w:val="left"/>
      <w:pPr>
        <w:ind w:left="1820" w:hanging="348"/>
      </w:pPr>
      <w:rPr>
        <w:rFonts w:hint="default"/>
        <w:lang w:val="en-US" w:eastAsia="en-US" w:bidi="ar-SA"/>
      </w:rPr>
    </w:lvl>
    <w:lvl w:ilvl="2" w:tplc="525E3C62">
      <w:numFmt w:val="bullet"/>
      <w:lvlText w:val="•"/>
      <w:lvlJc w:val="left"/>
      <w:pPr>
        <w:ind w:left="2721" w:hanging="348"/>
      </w:pPr>
      <w:rPr>
        <w:rFonts w:hint="default"/>
        <w:lang w:val="en-US" w:eastAsia="en-US" w:bidi="ar-SA"/>
      </w:rPr>
    </w:lvl>
    <w:lvl w:ilvl="3" w:tplc="004467C0">
      <w:numFmt w:val="bullet"/>
      <w:lvlText w:val="•"/>
      <w:lvlJc w:val="left"/>
      <w:pPr>
        <w:ind w:left="3621" w:hanging="348"/>
      </w:pPr>
      <w:rPr>
        <w:rFonts w:hint="default"/>
        <w:lang w:val="en-US" w:eastAsia="en-US" w:bidi="ar-SA"/>
      </w:rPr>
    </w:lvl>
    <w:lvl w:ilvl="4" w:tplc="CF00B006">
      <w:numFmt w:val="bullet"/>
      <w:lvlText w:val="•"/>
      <w:lvlJc w:val="left"/>
      <w:pPr>
        <w:ind w:left="4522" w:hanging="348"/>
      </w:pPr>
      <w:rPr>
        <w:rFonts w:hint="default"/>
        <w:lang w:val="en-US" w:eastAsia="en-US" w:bidi="ar-SA"/>
      </w:rPr>
    </w:lvl>
    <w:lvl w:ilvl="5" w:tplc="558C423A">
      <w:numFmt w:val="bullet"/>
      <w:lvlText w:val="•"/>
      <w:lvlJc w:val="left"/>
      <w:pPr>
        <w:ind w:left="5423" w:hanging="348"/>
      </w:pPr>
      <w:rPr>
        <w:rFonts w:hint="default"/>
        <w:lang w:val="en-US" w:eastAsia="en-US" w:bidi="ar-SA"/>
      </w:rPr>
    </w:lvl>
    <w:lvl w:ilvl="6" w:tplc="2F44AC34">
      <w:numFmt w:val="bullet"/>
      <w:lvlText w:val="•"/>
      <w:lvlJc w:val="left"/>
      <w:pPr>
        <w:ind w:left="6323" w:hanging="348"/>
      </w:pPr>
      <w:rPr>
        <w:rFonts w:hint="default"/>
        <w:lang w:val="en-US" w:eastAsia="en-US" w:bidi="ar-SA"/>
      </w:rPr>
    </w:lvl>
    <w:lvl w:ilvl="7" w:tplc="CDEA1814">
      <w:numFmt w:val="bullet"/>
      <w:lvlText w:val="•"/>
      <w:lvlJc w:val="left"/>
      <w:pPr>
        <w:ind w:left="7224" w:hanging="348"/>
      </w:pPr>
      <w:rPr>
        <w:rFonts w:hint="default"/>
        <w:lang w:val="en-US" w:eastAsia="en-US" w:bidi="ar-SA"/>
      </w:rPr>
    </w:lvl>
    <w:lvl w:ilvl="8" w:tplc="F8D46B2A">
      <w:numFmt w:val="bullet"/>
      <w:lvlText w:val="•"/>
      <w:lvlJc w:val="left"/>
      <w:pPr>
        <w:ind w:left="8125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045A"/>
    <w:rsid w:val="00360B39"/>
    <w:rsid w:val="008523AF"/>
    <w:rsid w:val="008A771E"/>
    <w:rsid w:val="00AA3915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7BF0C7-1A30-4783-AC94-6445EE1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924" w:hanging="34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2"/>
      <w:ind w:left="2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24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c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of Engineers Montenegro</dc:title>
  <dc:creator>pmarhold</dc:creator>
  <cp:lastModifiedBy>Александр Бурлаченко</cp:lastModifiedBy>
  <cp:revision>4</cp:revision>
  <dcterms:created xsi:type="dcterms:W3CDTF">2021-07-05T11:21:00Z</dcterms:created>
  <dcterms:modified xsi:type="dcterms:W3CDTF">2021-07-05T11:27:00Z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