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21" w:rsidRPr="004A3099" w:rsidRDefault="00527421" w:rsidP="007B3D05">
      <w:pPr>
        <w:pStyle w:val="Default"/>
        <w:spacing w:line="276" w:lineRule="auto"/>
        <w:jc w:val="both"/>
        <w:rPr>
          <w:b/>
        </w:rPr>
      </w:pPr>
      <w:r>
        <w:t>Комментарий к стандарту организации НО «ТЦА»: «</w:t>
      </w:r>
      <w:r w:rsidRPr="004A3099">
        <w:rPr>
          <w:b/>
        </w:rPr>
        <w:t>Стандарт проведения независимого технологического и ценового аудита. Общие п</w:t>
      </w:r>
      <w:r>
        <w:rPr>
          <w:b/>
        </w:rPr>
        <w:t>оложения, подходы и требования.»</w:t>
      </w:r>
    </w:p>
    <w:p w:rsidR="00527421" w:rsidRPr="004A3099" w:rsidRDefault="00527421" w:rsidP="007B3D05">
      <w:pPr>
        <w:pStyle w:val="Default"/>
        <w:spacing w:line="276" w:lineRule="auto"/>
        <w:jc w:val="both"/>
      </w:pPr>
    </w:p>
    <w:p w:rsidR="00527421" w:rsidRPr="004A3099" w:rsidRDefault="00527421" w:rsidP="007B3D05">
      <w:pPr>
        <w:pStyle w:val="Default"/>
        <w:spacing w:line="276" w:lineRule="auto"/>
        <w:jc w:val="both"/>
      </w:pPr>
      <w:r w:rsidRPr="004A3099">
        <w:t>Номер документа: СТЦА №2 (Редакция №5 - 2018 г.)</w:t>
      </w:r>
    </w:p>
    <w:p w:rsidR="00527421" w:rsidRPr="004A3099" w:rsidRDefault="00527421" w:rsidP="007B3D05">
      <w:pPr>
        <w:pStyle w:val="Default"/>
        <w:spacing w:line="276" w:lineRule="auto"/>
        <w:jc w:val="both"/>
      </w:pPr>
    </w:p>
    <w:p w:rsidR="00527421" w:rsidRPr="004A3099" w:rsidRDefault="00527421" w:rsidP="007B3D05">
      <w:pPr>
        <w:pStyle w:val="Default"/>
        <w:spacing w:line="276" w:lineRule="auto"/>
        <w:jc w:val="both"/>
        <w:rPr>
          <w:b/>
        </w:rPr>
      </w:pPr>
      <w:r w:rsidRPr="004A3099">
        <w:rPr>
          <w:b/>
        </w:rPr>
        <w:t>Анализ содержания</w:t>
      </w:r>
      <w:bookmarkStart w:id="0" w:name="_GoBack"/>
      <w:bookmarkEnd w:id="0"/>
    </w:p>
    <w:p w:rsidR="00527421" w:rsidRPr="004A3099" w:rsidRDefault="00527421" w:rsidP="007B3D05">
      <w:pPr>
        <w:pStyle w:val="Default"/>
        <w:spacing w:line="276" w:lineRule="auto"/>
        <w:jc w:val="both"/>
        <w:rPr>
          <w:b/>
        </w:rPr>
      </w:pPr>
    </w:p>
    <w:p w:rsidR="00527421" w:rsidRPr="004A3099" w:rsidRDefault="006B3F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>
        <w:t xml:space="preserve">В </w:t>
      </w:r>
      <w:r w:rsidR="00FF7353">
        <w:t xml:space="preserve">Государственной Думе </w:t>
      </w:r>
      <w:r>
        <w:t xml:space="preserve">прошло первое чтение </w:t>
      </w:r>
      <w:r w:rsidR="00FF7353">
        <w:t>законопроекта №440116-7 «О внесении изменений в Градостроительный кодекс и в Федеральный закон «Об инвестиционной деятельности в Российской Федерации, осуществляемой в форме капитальных вложений» в части введения обязательной стадии обоснования инвестиций (ОИ) и ТЦА</w:t>
      </w:r>
      <w:r>
        <w:t xml:space="preserve"> ОИ. В финансово-экономическом обосновании законопроекта пункт 2) говорится: «Введение технологического и ценового аудита обоснования инвестиций сопровождается отказом от проведения обязательного публичного технологического и </w:t>
      </w:r>
      <w:r w:rsidR="003D7040">
        <w:t>ценового аудита</w:t>
      </w:r>
      <w:r>
        <w:t xml:space="preserve"> крупных инвестиционных проектов с государственным участием…», </w:t>
      </w:r>
      <w:r w:rsidR="00FF7353">
        <w:t>которое предполагается передать органам власти, осуществляющим проверку достоверности сметной документации (Главгосэкспертизе и региональным экспертизам)</w:t>
      </w:r>
      <w:r>
        <w:t xml:space="preserve"> (Статья 13. Обоснование инвестиций. Пункт12)</w:t>
      </w:r>
      <w:r w:rsidR="003D7040">
        <w:t>. В</w:t>
      </w:r>
      <w:r w:rsidR="00FF7353">
        <w:t xml:space="preserve"> </w:t>
      </w:r>
      <w:r w:rsidR="003D7040">
        <w:t>э</w:t>
      </w:r>
      <w:r w:rsidR="00FF7353">
        <w:t>то</w:t>
      </w:r>
      <w:r w:rsidR="003D7040">
        <w:t>й связи</w:t>
      </w:r>
      <w:r w:rsidR="00FF7353">
        <w:t xml:space="preserve"> целесообразность разработки такого стандарта</w:t>
      </w:r>
      <w:r>
        <w:t xml:space="preserve"> вызывает сомнение</w:t>
      </w:r>
      <w:r w:rsidR="00FF7353">
        <w:t>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Указанные в Стандарте нормативные ссылки, являются</w:t>
      </w:r>
      <w:r w:rsidR="002C2B46">
        <w:t xml:space="preserve"> слишком</w:t>
      </w:r>
      <w:r w:rsidRPr="004A3099">
        <w:t xml:space="preserve"> общими,</w:t>
      </w:r>
      <w:r w:rsidR="002C2B46">
        <w:t xml:space="preserve"> поэтому</w:t>
      </w:r>
      <w:r w:rsidRPr="004A3099">
        <w:t xml:space="preserve"> отр</w:t>
      </w:r>
      <w:r w:rsidR="002C2B46">
        <w:t>ажают лишь основные положения</w:t>
      </w:r>
      <w:r w:rsidRPr="004A3099">
        <w:t xml:space="preserve"> стандартизации в РФ и не охватывают </w:t>
      </w:r>
      <w:r w:rsidR="002C2B46">
        <w:t xml:space="preserve">актуальную </w:t>
      </w:r>
      <w:r w:rsidRPr="004A3099">
        <w:t>нормативно-правовую среду в области инвестирования (дана ссылка только на ФЗ N 39 «Об инвестиционной деятельности в Российской Федерации, осуществляемой в форме капитальных вложений» от 25.02.1999).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 xml:space="preserve">Содержание многих приведенных терминов и определений является спорным и не подкреплено ссылками на общепринятые нормативно-правовые, научно-исследовательские, справочные и др. источники. </w:t>
      </w:r>
      <w:r>
        <w:t>При этом т</w:t>
      </w:r>
      <w:r w:rsidRPr="004A3099">
        <w:t>ермины и определения, приведенные в</w:t>
      </w:r>
      <w:r w:rsidR="002C2B46">
        <w:t xml:space="preserve"> разделе Стандарта</w:t>
      </w:r>
      <w:r w:rsidRPr="004A3099">
        <w:t xml:space="preserve">, не только не связаны с большей частью специальных терминов, использованных в </w:t>
      </w:r>
      <w:r w:rsidR="002C2B46">
        <w:t xml:space="preserve">основном </w:t>
      </w:r>
      <w:r w:rsidRPr="004A3099">
        <w:t xml:space="preserve">документе, но и не раскрывают предметную область самого </w:t>
      </w:r>
      <w:r w:rsidR="002C2B46">
        <w:t>Стандарта, например, отсутствуе</w:t>
      </w:r>
      <w:r w:rsidRPr="004A3099">
        <w:t xml:space="preserve">т базовое </w:t>
      </w:r>
      <w:r w:rsidRPr="004A3099">
        <w:t>определение «</w:t>
      </w:r>
      <w:r w:rsidRPr="004A3099">
        <w:t xml:space="preserve">аудит». 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В стандарте не дано определение и, как следствие, далее по тексту</w:t>
      </w:r>
      <w:r w:rsidR="002C2B46">
        <w:t xml:space="preserve"> искажено</w:t>
      </w:r>
      <w:r>
        <w:t xml:space="preserve"> содержание </w:t>
      </w:r>
      <w:r w:rsidRPr="004A3099">
        <w:t>поняти</w:t>
      </w:r>
      <w:r>
        <w:t>я</w:t>
      </w:r>
      <w:r w:rsidRPr="004A3099">
        <w:t xml:space="preserve"> «аудит». Как известно, «Аудит - систематический, независимый и документированный процесс получения объективных свидетельств и их оценивания с целью установления их достоверности и степени выполнения согласованных критериев аудита». Другими словами, аудит – это функция контроля соответствия фактического состояния </w:t>
      </w:r>
      <w:r>
        <w:t xml:space="preserve">объекта </w:t>
      </w:r>
      <w:r>
        <w:t>нормативно-правовым требованиям</w:t>
      </w:r>
      <w:r w:rsidR="002C2B46">
        <w:t xml:space="preserve"> или эталону</w:t>
      </w:r>
      <w:r>
        <w:t>,</w:t>
      </w:r>
      <w:r>
        <w:t xml:space="preserve"> </w:t>
      </w:r>
      <w:r w:rsidRPr="004A3099">
        <w:t xml:space="preserve">и выдача рекомендаций по устранению </w:t>
      </w:r>
      <w:r w:rsidRPr="004A3099">
        <w:t>рассогласований.</w:t>
      </w:r>
      <w:r w:rsidRPr="004A3099">
        <w:t xml:space="preserve"> 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 xml:space="preserve">При детализации общего термина «аудит» авторами стандарта существенно и необоснованно расширено его смысловое содержание. </w:t>
      </w:r>
      <w:r w:rsidR="00642129">
        <w:t>В разделе 5 «Термины и определения», в</w:t>
      </w:r>
      <w:r w:rsidRPr="004A3099">
        <w:t xml:space="preserve"> частности, </w:t>
      </w:r>
      <w:r w:rsidR="00642129">
        <w:t xml:space="preserve">записано: </w:t>
      </w:r>
      <w:r w:rsidRPr="004A3099">
        <w:t>«</w:t>
      </w:r>
      <w:r w:rsidRPr="004A3099">
        <w:rPr>
          <w:i/>
        </w:rPr>
        <w:t xml:space="preserve">независимый технологический и ценовой аудит </w:t>
      </w:r>
      <w:r w:rsidRPr="004A3099">
        <w:rPr>
          <w:i/>
        </w:rPr>
        <w:lastRenderedPageBreak/>
        <w:t xml:space="preserve">(ТЦА) инвестиционного проекта – независимая квалифицированная </w:t>
      </w:r>
      <w:r w:rsidRPr="00AF4DB6">
        <w:rPr>
          <w:b/>
          <w:i/>
        </w:rPr>
        <w:t>оценка</w:t>
      </w:r>
      <w:r w:rsidRPr="004A3099">
        <w:rPr>
          <w:i/>
        </w:rPr>
        <w:t xml:space="preserve"> </w:t>
      </w:r>
      <w:r w:rsidRPr="00AF4DB6">
        <w:rPr>
          <w:b/>
          <w:i/>
        </w:rPr>
        <w:t>и подтверждение реализуемости проекта</w:t>
      </w:r>
      <w:r w:rsidRPr="004A3099">
        <w:rPr>
          <w:i/>
        </w:rPr>
        <w:t xml:space="preserve">, </w:t>
      </w:r>
      <w:r w:rsidRPr="00AF4DB6">
        <w:rPr>
          <w:b/>
          <w:i/>
        </w:rPr>
        <w:t>оптимальности</w:t>
      </w:r>
      <w:r w:rsidRPr="004A3099">
        <w:rPr>
          <w:i/>
        </w:rPr>
        <w:t xml:space="preserve"> выбранной технологии, сроков реализации проекта, </w:t>
      </w:r>
      <w:r w:rsidRPr="00AF4DB6">
        <w:rPr>
          <w:b/>
          <w:i/>
        </w:rPr>
        <w:t>обоснованности и оптимальности</w:t>
      </w:r>
      <w:r w:rsidRPr="004A3099">
        <w:rPr>
          <w:i/>
        </w:rPr>
        <w:t xml:space="preserve"> затрат на реализацию и </w:t>
      </w:r>
      <w:r w:rsidRPr="00AF4DB6">
        <w:rPr>
          <w:b/>
          <w:i/>
        </w:rPr>
        <w:t>сбалансированной стоимости инвестиционного проекта, анализ рисков проекта, разработка рекомендаций по его оптимизации и снижению рисков, а также независимый мониторинг его реализации и завершения</w:t>
      </w:r>
      <w:r w:rsidRPr="004A3099">
        <w:t>».</w:t>
      </w:r>
      <w:r w:rsidR="00642129">
        <w:t xml:space="preserve"> Тем самым дублируются функции Генпроектировщика и государственной экспертизы, а объем и стоимость работ становятся весьма существенными.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Рассматриваемый Стандарт «</w:t>
      </w:r>
      <w:r w:rsidRPr="004A3099">
        <w:rPr>
          <w:i/>
        </w:rPr>
        <w:t xml:space="preserve">для применения … носит </w:t>
      </w:r>
      <w:r w:rsidRPr="004A3099">
        <w:rPr>
          <w:b/>
          <w:i/>
        </w:rPr>
        <w:t>рекомендательный</w:t>
      </w:r>
      <w:r w:rsidRPr="004A3099">
        <w:rPr>
          <w:i/>
        </w:rPr>
        <w:t xml:space="preserve"> характер</w:t>
      </w:r>
      <w:r w:rsidRPr="004A3099">
        <w:t>». Из определения стандарта (как официального государственного или нормативно-технического документа отрасли, предприятия, устанавливающего необходимые качественные характеристики, требования, которым должен соответствовать данный вид продукции, товара (Экономика и право. Словарь справочник.)) следует, что предлагаемый документ по существу стандартом не является.  </w:t>
      </w:r>
    </w:p>
    <w:p w:rsidR="00527421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В Стандарте основными функциями управления приняты: анализ, планирование, организация и контроль. Авторами документа «</w:t>
      </w:r>
      <w:r w:rsidRPr="004A3099">
        <w:rPr>
          <w:i/>
        </w:rPr>
        <w:t>роль и место ТЦА, исходя из цели, предмета и объектов ТЦА, определены в рамках функции управления проектом «Анализ»</w:t>
      </w:r>
      <w:r w:rsidRPr="004A3099">
        <w:t xml:space="preserve">». </w:t>
      </w:r>
      <w:r>
        <w:t xml:space="preserve">Однако, исходя из сущности аудита, </w:t>
      </w:r>
      <w:r w:rsidRPr="004A3099">
        <w:t>осуществл</w:t>
      </w:r>
      <w:r>
        <w:t xml:space="preserve">ение </w:t>
      </w:r>
      <w:r w:rsidRPr="004A3099">
        <w:t xml:space="preserve">ТЦА </w:t>
      </w:r>
      <w:r>
        <w:t xml:space="preserve">возможно только в рамках </w:t>
      </w:r>
      <w:r w:rsidRPr="004A3099">
        <w:t>функции «контроль»</w:t>
      </w:r>
      <w:r>
        <w:t xml:space="preserve">. При этом в качестве базы ТЦА необходимо </w:t>
      </w:r>
      <w:r w:rsidRPr="004A3099">
        <w:t>использовани</w:t>
      </w:r>
      <w:r>
        <w:t>е</w:t>
      </w:r>
      <w:r w:rsidRPr="004A3099">
        <w:t xml:space="preserve"> документированных объективных свидетельств</w:t>
      </w:r>
      <w:r>
        <w:t xml:space="preserve">, формируемых в рамках не указанной в тексте Стандарта </w:t>
      </w:r>
      <w:r w:rsidRPr="004A3099">
        <w:t>функции управления «учет»</w:t>
      </w:r>
      <w:r>
        <w:t>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 xml:space="preserve">В тексте методически неправильно используется термин «оптимальность». Как известно, оптимальный – это наилучший в рассматриваемой области по выбранному критерию, обеспечивающий экстремум целевой функции. Для корректного утверждения об оптимальности принятого решения необходимо </w:t>
      </w:r>
      <w:r w:rsidRPr="004A3099">
        <w:t>приведение доказательства</w:t>
      </w:r>
      <w:r w:rsidRPr="004A3099">
        <w:t xml:space="preserve">, включающего формализацию проблемы, выбор целевой функции, описание ограничений, вплоть до </w:t>
      </w:r>
      <w:r w:rsidRPr="004A3099">
        <w:t>составления математической</w:t>
      </w:r>
      <w:r w:rsidRPr="004A3099">
        <w:t xml:space="preserve"> модели, поиск решения численными методами.</w:t>
      </w:r>
      <w:r>
        <w:t xml:space="preserve"> В случае, когда решение о принятии варианта принимается на основе оценивания качественных показателей проекта необходимо применение количественных методов экспертных оценок. Поэтому в рамках Стандарта речь может идти о получении не оптимального, а рационального, приемлемого, целесообразного и т.д. варианта.</w:t>
      </w:r>
      <w:r w:rsidRPr="004A3099">
        <w:t xml:space="preserve">  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В рекомендуемую классификацию стадий жизненного цикла проекта для ТЦА включена прединвестиционная стадия. Поскольку данная стадия в</w:t>
      </w:r>
      <w:r w:rsidR="00642129">
        <w:t xml:space="preserve"> российских</w:t>
      </w:r>
      <w:r w:rsidRPr="004A3099">
        <w:t xml:space="preserve"> нормативно-правовых документах </w:t>
      </w:r>
      <w:r w:rsidR="00642129">
        <w:t xml:space="preserve">на данный момент </w:t>
      </w:r>
      <w:r w:rsidRPr="004A3099">
        <w:t xml:space="preserve">отсутствует, непонятно, на соответствие каким </w:t>
      </w:r>
      <w:r w:rsidRPr="004A3099">
        <w:t>требованиям будет</w:t>
      </w:r>
      <w:r w:rsidRPr="004A3099">
        <w:t xml:space="preserve"> проверяться объект аудита.  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Приведенный в Стандарте «</w:t>
      </w:r>
      <w:r w:rsidRPr="004A3099">
        <w:rPr>
          <w:i/>
        </w:rPr>
        <w:t>перечень основных задач и виды анализа (экспертиз), … не является исчерпывающим</w:t>
      </w:r>
      <w:r w:rsidRPr="004A3099">
        <w:t xml:space="preserve">», что </w:t>
      </w:r>
      <w:r w:rsidR="00642129">
        <w:t>соз</w:t>
      </w:r>
      <w:r w:rsidRPr="004A3099">
        <w:t>дает предмет для вольной трактовки требований стандарта и последующего неконтролируемого увеличения их числа.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В стандарте прямо указана необязательность выполнения его требований, поскольку отдельные пункты подготовлены «</w:t>
      </w:r>
      <w:r w:rsidRPr="004A3099">
        <w:rPr>
          <w:i/>
        </w:rPr>
        <w:t xml:space="preserve">исключительно в целях наглядной демонстрации роли и места ТЦА в управлении инвестиционным проектом, а также его отличия от других видов анализа / экспертиз и контрольно-аналитических мероприятий </w:t>
      </w:r>
      <w:r w:rsidRPr="004A3099">
        <w:rPr>
          <w:i/>
        </w:rPr>
        <w:lastRenderedPageBreak/>
        <w:t>характерных различным стадиям / этапам жизненного цикла проекта</w:t>
      </w:r>
      <w:r w:rsidRPr="004A3099">
        <w:t>».</w:t>
      </w:r>
      <w:r w:rsidR="005D7E0A">
        <w:t xml:space="preserve"> При этом, какие-то специфические особенности, присущие только ТЦА не обнаружены.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 xml:space="preserve">В документе допущена попытка охватить все сферы деятельности и подменить ныне действующие компетентные организации </w:t>
      </w:r>
      <w:r w:rsidRPr="004A3099">
        <w:t>(ГГЭ</w:t>
      </w:r>
      <w:r w:rsidRPr="004A3099">
        <w:t xml:space="preserve">, счетную палату, организации финансового аудита, оценщиков, финансово-экономического консалтинга, маркетинга и </w:t>
      </w:r>
      <w:proofErr w:type="spellStart"/>
      <w:r w:rsidRPr="004A3099">
        <w:t>др</w:t>
      </w:r>
      <w:proofErr w:type="spellEnd"/>
      <w:r w:rsidRPr="004A3099">
        <w:t xml:space="preserve">). При этом собственно предмет Стандарта (проверка технологических и ценовых аспектов) отражены слабо и исчезающе малы в общем объеме работ, традиционно выполняемых в рамках бизнес- планирования, маркетинговых исследований, оценки рыночной стоимости активов, анализа хозяйственной деятельности, существующих специализированных экспертиз и аудитов и т.д. Кроме этого все указанные виды деятельности, обладают проработанной нормативной и методической базой и требуют привлечения специалистов, обладающих многолетним опытом и, зачастую, имеющих сертификат. При этом требования к собственно </w:t>
      </w:r>
      <w:r w:rsidRPr="004A3099">
        <w:t>специалистам по</w:t>
      </w:r>
      <w:r w:rsidRPr="004A3099">
        <w:t xml:space="preserve"> технологическому и ценовому аудиту в Стандарте не приведены. </w:t>
      </w:r>
      <w:r w:rsidR="0002129F">
        <w:t>В большинстве стран к экспертизе разных этапов и разделов инвестиционного проекта допускаются профессиональные инженеры-консультанты, аккредитованные на выполнение конкретных работ.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Аудиторам вменены, не свойственные им функции, директивного прямого управления, вмешательства в конфиденциальные вопросы финансирования и принятия организационных решений.</w:t>
      </w:r>
      <w:r w:rsidR="00557F4D">
        <w:t xml:space="preserve"> Во многих случаях автор проекта может не допустить вмешательства в проект или внесение изменений в проектную документацию.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 xml:space="preserve"> В Стандарте приведено требование предоставления информации, которая на ряде стадий и этапов инвестиционного процесса еще не существуют.</w:t>
      </w:r>
    </w:p>
    <w:p w:rsidR="00527421" w:rsidRPr="004A3099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В Стандарте указаны требования к величине погрешности расчетов при определении «</w:t>
      </w:r>
      <w:r w:rsidRPr="00763C34">
        <w:rPr>
          <w:i/>
        </w:rPr>
        <w:t>точности оценок затрат на этапах жизненного цикла проекта</w:t>
      </w:r>
      <w:r w:rsidRPr="004A3099">
        <w:t xml:space="preserve">», правда в виде рекомендуемой информации. Однако при этом не указаны ссылки на методики, определяющие порядок оценки </w:t>
      </w:r>
      <w:r>
        <w:t xml:space="preserve">расчетных </w:t>
      </w:r>
      <w:r w:rsidRPr="004A3099">
        <w:t>затрат особенно на прединвестиционной стадии (этапах НИОКР и ТЭО).</w:t>
      </w:r>
      <w:r>
        <w:t xml:space="preserve"> Также не определен порядок получения базовых значений, от которых определяется величина погрешностей, характеризующих точность определения расчетных затрат.</w:t>
      </w:r>
    </w:p>
    <w:p w:rsidR="00527421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 xml:space="preserve">В стандарте </w:t>
      </w:r>
      <w:r w:rsidR="005D7E0A">
        <w:t xml:space="preserve">формально </w:t>
      </w:r>
      <w:r w:rsidRPr="004A3099">
        <w:t xml:space="preserve">указан перечень рисков реализации проекта. </w:t>
      </w:r>
      <w:r>
        <w:t>Т</w:t>
      </w:r>
      <w:r w:rsidRPr="004A3099">
        <w:t>екстовое содержание раздела состоит из двух предложений «</w:t>
      </w:r>
      <w:r w:rsidRPr="004A3099">
        <w:rPr>
          <w:i/>
        </w:rPr>
        <w:t xml:space="preserve">На разных этапах жизненного цикла проекта существует различный массив исходных </w:t>
      </w:r>
      <w:proofErr w:type="gramStart"/>
      <w:r w:rsidRPr="004A3099">
        <w:rPr>
          <w:i/>
        </w:rPr>
        <w:t>данных</w:t>
      </w:r>
      <w:proofErr w:type="gramEnd"/>
      <w:r w:rsidRPr="004A3099">
        <w:rPr>
          <w:i/>
        </w:rPr>
        <w:t xml:space="preserve"> и разная глубина проработки исходных данных, на основании которых может быть произведен анализ Проекта. </w:t>
      </w:r>
      <w:r w:rsidRPr="00883B31">
        <w:rPr>
          <w:b/>
          <w:i/>
        </w:rPr>
        <w:t>Данный факт</w:t>
      </w:r>
      <w:r w:rsidRPr="004A3099">
        <w:rPr>
          <w:i/>
        </w:rPr>
        <w:t xml:space="preserve"> </w:t>
      </w:r>
      <w:r w:rsidRPr="00883B31">
        <w:rPr>
          <w:b/>
          <w:i/>
        </w:rPr>
        <w:t>обуславливает</w:t>
      </w:r>
      <w:r w:rsidRPr="004A3099">
        <w:rPr>
          <w:i/>
        </w:rPr>
        <w:t xml:space="preserve"> наличие технических рисков, характерных для каждого этапа</w:t>
      </w:r>
      <w:r w:rsidRPr="004A3099">
        <w:t xml:space="preserve">». </w:t>
      </w:r>
      <w:r>
        <w:t>При этом раздел не содержит информации о составе требований к специфической деятельности аудиторов в части оценки рисков</w:t>
      </w:r>
      <w:r w:rsidR="005D7E0A">
        <w:t>, не указан математический аппарат и механизм</w:t>
      </w:r>
      <w:r>
        <w:t xml:space="preserve"> выработки рекомендаций </w:t>
      </w:r>
      <w:r w:rsidRPr="004A3099">
        <w:t>по</w:t>
      </w:r>
      <w:r w:rsidR="00FA327E">
        <w:t xml:space="preserve"> </w:t>
      </w:r>
      <w:r w:rsidR="00FA327E">
        <w:t>хеджировани</w:t>
      </w:r>
      <w:r w:rsidR="00FA327E">
        <w:t>ю</w:t>
      </w:r>
      <w:r w:rsidR="00FA327E">
        <w:t xml:space="preserve"> рисков или минимизации их последствий</w:t>
      </w:r>
      <w:r>
        <w:t xml:space="preserve">, </w:t>
      </w:r>
      <w:r>
        <w:t>что делает</w:t>
      </w:r>
      <w:r>
        <w:t xml:space="preserve"> сомнительной целесообразность наличия данного раздела в Стандарте.</w:t>
      </w:r>
    </w:p>
    <w:p w:rsidR="00527421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 w:rsidRPr="004A3099">
        <w:t>В Стандарте вместо указания на прямую ответственность организации, проводящей технологический и ценовой аудит, за качество представляемых результатов, представлено эссе на тему профессионально-этических принципов.</w:t>
      </w:r>
      <w:r>
        <w:t xml:space="preserve"> Безответственность </w:t>
      </w:r>
      <w:r>
        <w:lastRenderedPageBreak/>
        <w:t>влечет свободное включение в результаты аудита существенных положений, изменений и влияющих на ход работ без обоснований.</w:t>
      </w:r>
    </w:p>
    <w:p w:rsidR="00527421" w:rsidRDefault="00527421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>
        <w:t xml:space="preserve">В стандарте представлена организационная часть и оформительская. Сутевая часть отсутствует. Способы, методы, алгоритмы выполнения работ отсутствуют. Это приведет к формированию случайных выводов о документации </w:t>
      </w:r>
      <w:r w:rsidR="00FA327E">
        <w:t xml:space="preserve">рассматриваемых </w:t>
      </w:r>
      <w:r>
        <w:t>инвестпроектов.</w:t>
      </w:r>
    </w:p>
    <w:p w:rsidR="000B409B" w:rsidRDefault="000B409B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>
        <w:t xml:space="preserve">Стандарт не содержит конкретных указаний, методик, порядка оценки (экспертизы, аудита) обоснования технологических решений. Следовательно, Таблица 3 для определения «Точности оценок затрат на этапах жизненного цикла проекта» для промышленных объектов </w:t>
      </w:r>
      <w:r w:rsidR="00FA327E">
        <w:t xml:space="preserve">не </w:t>
      </w:r>
      <w:r>
        <w:t>является достоверной.</w:t>
      </w:r>
    </w:p>
    <w:p w:rsidR="000B409B" w:rsidRDefault="000B409B" w:rsidP="007B3D05">
      <w:pPr>
        <w:pStyle w:val="Default"/>
        <w:numPr>
          <w:ilvl w:val="0"/>
          <w:numId w:val="8"/>
        </w:numPr>
        <w:spacing w:after="120" w:line="276" w:lineRule="auto"/>
        <w:ind w:left="426" w:hanging="357"/>
        <w:jc w:val="both"/>
      </w:pPr>
      <w:r>
        <w:t>Раздел 7. Профессионально-этические принципы ТЦА. Раздел не содержит характеристик в измеримых показателях, следовательно, не может быть применяем в реальных условиях.</w:t>
      </w:r>
    </w:p>
    <w:p w:rsidR="000B409B" w:rsidRPr="004A3099" w:rsidRDefault="000B409B" w:rsidP="007B3D05">
      <w:pPr>
        <w:pStyle w:val="Default"/>
        <w:spacing w:after="120" w:line="276" w:lineRule="auto"/>
        <w:jc w:val="both"/>
      </w:pPr>
    </w:p>
    <w:p w:rsidR="00527421" w:rsidRDefault="000B409B" w:rsidP="007B3D05">
      <w:pPr>
        <w:pStyle w:val="Default"/>
        <w:spacing w:line="276" w:lineRule="auto"/>
        <w:ind w:left="426"/>
        <w:jc w:val="both"/>
      </w:pPr>
      <w:r>
        <w:t xml:space="preserve">Кроме вышеуказанных замечаний, </w:t>
      </w:r>
      <w:r w:rsidR="00557F4D">
        <w:t>имеется большая сводка</w:t>
      </w:r>
      <w:r>
        <w:t xml:space="preserve"> </w:t>
      </w:r>
      <w:r w:rsidR="00FA327E">
        <w:t xml:space="preserve">редакционных </w:t>
      </w:r>
      <w:r>
        <w:t>з</w:t>
      </w:r>
      <w:r w:rsidR="00557F4D">
        <w:t xml:space="preserve">амечаний по тексту и оформлению, которая не приводится ввиду </w:t>
      </w:r>
      <w:r w:rsidR="00FA327E">
        <w:t>наличия существенных замечаний, делающих принятие</w:t>
      </w:r>
      <w:r w:rsidR="00557F4D">
        <w:t xml:space="preserve"> документа</w:t>
      </w:r>
      <w:r w:rsidR="00FA327E">
        <w:t xml:space="preserve"> невозможным</w:t>
      </w:r>
      <w:r w:rsidR="00557F4D">
        <w:t>.</w:t>
      </w:r>
    </w:p>
    <w:sectPr w:rsidR="00527421" w:rsidSect="00A17BA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E7" w:rsidRDefault="001D62E7" w:rsidP="00A17BAD">
      <w:r>
        <w:separator/>
      </w:r>
    </w:p>
  </w:endnote>
  <w:endnote w:type="continuationSeparator" w:id="0">
    <w:p w:rsidR="001D62E7" w:rsidRDefault="001D62E7" w:rsidP="00A1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BAD" w:rsidRPr="00A17BAD" w:rsidRDefault="00DB6873" w:rsidP="00A17BAD">
        <w:pPr>
          <w:pStyle w:val="ac"/>
          <w:jc w:val="center"/>
          <w:rPr>
            <w:rFonts w:ascii="Times New Roman" w:hAnsi="Times New Roman" w:cs="Times New Roman"/>
          </w:rPr>
        </w:pPr>
        <w:r w:rsidRPr="00A17BAD">
          <w:rPr>
            <w:rFonts w:ascii="Times New Roman" w:hAnsi="Times New Roman" w:cs="Times New Roman"/>
          </w:rPr>
          <w:fldChar w:fldCharType="begin"/>
        </w:r>
        <w:r w:rsidR="00A17BAD" w:rsidRPr="00A17BAD">
          <w:rPr>
            <w:rFonts w:ascii="Times New Roman" w:hAnsi="Times New Roman" w:cs="Times New Roman"/>
          </w:rPr>
          <w:instrText xml:space="preserve"> PAGE   \* MERGEFORMAT </w:instrText>
        </w:r>
        <w:r w:rsidRPr="00A17BAD">
          <w:rPr>
            <w:rFonts w:ascii="Times New Roman" w:hAnsi="Times New Roman" w:cs="Times New Roman"/>
          </w:rPr>
          <w:fldChar w:fldCharType="separate"/>
        </w:r>
        <w:r w:rsidR="006110CB">
          <w:rPr>
            <w:rFonts w:ascii="Times New Roman" w:hAnsi="Times New Roman" w:cs="Times New Roman"/>
            <w:noProof/>
          </w:rPr>
          <w:t>4</w:t>
        </w:r>
        <w:r w:rsidRPr="00A17B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AD" w:rsidRDefault="00A17BAD" w:rsidP="00A17BAD">
    <w:pPr>
      <w:pBdr>
        <w:bottom w:val="single" w:sz="12" w:space="1" w:color="auto"/>
      </w:pBdr>
      <w:ind w:left="-993"/>
      <w:jc w:val="center"/>
      <w:rPr>
        <w:rStyle w:val="a6"/>
        <w:rFonts w:ascii="Bookman Old Style" w:hAnsi="Bookman Old Style"/>
        <w:sz w:val="18"/>
      </w:rPr>
    </w:pPr>
  </w:p>
  <w:p w:rsidR="00A17BAD" w:rsidRDefault="00A17BAD" w:rsidP="00A17BAD">
    <w:pPr>
      <w:rPr>
        <w:rStyle w:val="a6"/>
        <w:rFonts w:ascii="Bookman Old Style" w:hAnsi="Bookman Old Style"/>
        <w:sz w:val="18"/>
      </w:rPr>
    </w:pPr>
  </w:p>
  <w:p w:rsidR="00A17BAD" w:rsidRDefault="00B3199B" w:rsidP="00A17BAD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</w:t>
    </w:r>
    <w:r w:rsidR="00A17BAD">
      <w:rPr>
        <w:rFonts w:ascii="Bookman Old Style" w:hAnsi="Bookman Old Style"/>
        <w:b/>
        <w:color w:val="FF0000"/>
        <w:sz w:val="24"/>
        <w:szCs w:val="96"/>
      </w:rPr>
      <w:t>Ы РОССИИ – ОБЪЕДИНЯЙТЕСЬ!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E7" w:rsidRDefault="001D62E7" w:rsidP="00A17BAD">
      <w:r>
        <w:separator/>
      </w:r>
    </w:p>
  </w:footnote>
  <w:footnote w:type="continuationSeparator" w:id="0">
    <w:p w:rsidR="001D62E7" w:rsidRDefault="001D62E7" w:rsidP="00A1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AD" w:rsidRPr="00BB1B31" w:rsidRDefault="00A17BAD" w:rsidP="00A17BAD">
    <w:pPr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</w:rPr>
      <w:drawing>
        <wp:anchor distT="0" distB="0" distL="114300" distR="114300" simplePos="0" relativeHeight="251659264" behindDoc="0" locked="0" layoutInCell="1" allowOverlap="1" wp14:anchorId="3C33AC0D" wp14:editId="255C3EE6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A17BAD" w:rsidRPr="00BB1B31" w:rsidRDefault="00A17BAD" w:rsidP="00A17BAD">
    <w:pPr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</w:rPr>
      <w:t>119034, РФ, г. Москва, пер. 1-й Зачатьевский, д. 8, строен.1, тел. 8</w:t>
    </w:r>
    <w:r w:rsidR="008F4C8F" w:rsidRPr="00120D94">
      <w:rPr>
        <w:rFonts w:ascii="Bookman Old Style" w:eastAsia="Times New Roman" w:hAnsi="Bookman Old Style"/>
        <w:sz w:val="18"/>
      </w:rPr>
      <w:t xml:space="preserve"> </w:t>
    </w:r>
    <w:r w:rsidRPr="00BB1B31">
      <w:rPr>
        <w:rFonts w:ascii="Bookman Old Style" w:eastAsia="Times New Roman" w:hAnsi="Bookman Old Style"/>
        <w:sz w:val="18"/>
      </w:rPr>
      <w:t xml:space="preserve">(495)123-68-02, </w:t>
    </w:r>
    <w:hyperlink r:id="rId2" w:history="1">
      <w:r w:rsidR="008F4C8F" w:rsidRPr="001B21DD">
        <w:rPr>
          <w:rStyle w:val="a6"/>
          <w:rFonts w:ascii="Bookman Old Style" w:eastAsia="Times New Roman" w:hAnsi="Bookman Old Style"/>
          <w:sz w:val="18"/>
          <w:lang w:val="en-US"/>
        </w:rPr>
        <w:t>info</w:t>
      </w:r>
      <w:r w:rsidR="008F4C8F" w:rsidRPr="001B21DD">
        <w:rPr>
          <w:rStyle w:val="a6"/>
          <w:rFonts w:ascii="Bookman Old Style" w:eastAsia="Times New Roman" w:hAnsi="Bookman Old Style"/>
          <w:sz w:val="18"/>
        </w:rPr>
        <w:t>@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/>
        </w:rPr>
        <w:t>npirf</w:t>
      </w:r>
      <w:r w:rsidR="008F4C8F" w:rsidRPr="001B21DD">
        <w:rPr>
          <w:rStyle w:val="a6"/>
          <w:rFonts w:ascii="Bookman Old Style" w:eastAsia="Times New Roman" w:hAnsi="Bookman Old Style"/>
          <w:sz w:val="18"/>
        </w:rPr>
        <w:t>.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17BAD" w:rsidRDefault="001D62E7" w:rsidP="00A17BAD">
    <w:pPr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A17BAD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proofErr w:type="spellStart"/>
      <w:r w:rsidR="00A17BAD" w:rsidRPr="00BB1B31">
        <w:rPr>
          <w:rStyle w:val="a6"/>
          <w:rFonts w:ascii="Bookman Old Style" w:hAnsi="Bookman Old Style"/>
          <w:sz w:val="18"/>
          <w:lang w:val="en-US"/>
        </w:rPr>
        <w:t>npirf</w:t>
      </w:r>
      <w:proofErr w:type="spellEnd"/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ru</w:t>
      </w:r>
    </w:hyperlink>
    <w:r w:rsidR="00A17BAD" w:rsidRPr="00BB1B31">
      <w:rPr>
        <w:rFonts w:ascii="Bookman Old Style" w:hAnsi="Bookman Old Style"/>
        <w:sz w:val="18"/>
      </w:rPr>
      <w:t xml:space="preserve">, </w:t>
    </w:r>
    <w:r w:rsidR="00A17BAD" w:rsidRPr="00BB1B31">
      <w:rPr>
        <w:rStyle w:val="a6"/>
        <w:rFonts w:ascii="Bookman Old Style" w:hAnsi="Bookman Old Style"/>
        <w:sz w:val="18"/>
      </w:rPr>
      <w:t>реестр-инженеров.рф</w:t>
    </w:r>
  </w:p>
  <w:p w:rsidR="00A17BAD" w:rsidRDefault="00A17BAD" w:rsidP="00A17BAD">
    <w:pPr>
      <w:pBdr>
        <w:bottom w:val="single" w:sz="12" w:space="1" w:color="auto"/>
      </w:pBdr>
      <w:ind w:left="-993"/>
      <w:jc w:val="center"/>
      <w:rPr>
        <w:rStyle w:val="a6"/>
        <w:rFonts w:ascii="Bookman Old Style" w:hAnsi="Bookman Old Style"/>
        <w:sz w:val="18"/>
      </w:rPr>
    </w:pPr>
  </w:p>
  <w:p w:rsidR="00A17BAD" w:rsidRPr="00A17BAD" w:rsidRDefault="00A17BAD" w:rsidP="00A17B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377A"/>
    <w:multiLevelType w:val="multilevel"/>
    <w:tmpl w:val="CFF8D52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7B09"/>
    <w:multiLevelType w:val="hybridMultilevel"/>
    <w:tmpl w:val="9606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C0BB8"/>
    <w:multiLevelType w:val="multilevel"/>
    <w:tmpl w:val="6F6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5E41"/>
    <w:multiLevelType w:val="multilevel"/>
    <w:tmpl w:val="70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D519C"/>
    <w:multiLevelType w:val="multilevel"/>
    <w:tmpl w:val="DACC661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07040C"/>
    <w:multiLevelType w:val="multilevel"/>
    <w:tmpl w:val="59F6A9F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07A2B5E"/>
    <w:multiLevelType w:val="hybridMultilevel"/>
    <w:tmpl w:val="EE26C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45B743B"/>
    <w:multiLevelType w:val="multilevel"/>
    <w:tmpl w:val="B9B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64B3A"/>
    <w:multiLevelType w:val="hybridMultilevel"/>
    <w:tmpl w:val="542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160535"/>
    <w:multiLevelType w:val="hybridMultilevel"/>
    <w:tmpl w:val="EB38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0"/>
    <w:rsid w:val="00004708"/>
    <w:rsid w:val="00017FBC"/>
    <w:rsid w:val="0002129F"/>
    <w:rsid w:val="00035323"/>
    <w:rsid w:val="00044B38"/>
    <w:rsid w:val="00096415"/>
    <w:rsid w:val="000A2E02"/>
    <w:rsid w:val="000B409B"/>
    <w:rsid w:val="000C194B"/>
    <w:rsid w:val="00120D94"/>
    <w:rsid w:val="00123104"/>
    <w:rsid w:val="0015644E"/>
    <w:rsid w:val="001652F5"/>
    <w:rsid w:val="00167842"/>
    <w:rsid w:val="001807FF"/>
    <w:rsid w:val="00191D41"/>
    <w:rsid w:val="001C1E04"/>
    <w:rsid w:val="001D3C86"/>
    <w:rsid w:val="001D62E7"/>
    <w:rsid w:val="00286788"/>
    <w:rsid w:val="00293593"/>
    <w:rsid w:val="002B4DE1"/>
    <w:rsid w:val="002C2B46"/>
    <w:rsid w:val="003077F2"/>
    <w:rsid w:val="00345656"/>
    <w:rsid w:val="00397694"/>
    <w:rsid w:val="003C16DA"/>
    <w:rsid w:val="003C4ACA"/>
    <w:rsid w:val="003D7040"/>
    <w:rsid w:val="00434CFF"/>
    <w:rsid w:val="00440BC4"/>
    <w:rsid w:val="00451F18"/>
    <w:rsid w:val="004D4A1A"/>
    <w:rsid w:val="004F3901"/>
    <w:rsid w:val="004F6F4F"/>
    <w:rsid w:val="00507FE7"/>
    <w:rsid w:val="00527421"/>
    <w:rsid w:val="00557F4D"/>
    <w:rsid w:val="00565616"/>
    <w:rsid w:val="005656DD"/>
    <w:rsid w:val="005824E9"/>
    <w:rsid w:val="005874F7"/>
    <w:rsid w:val="005C063D"/>
    <w:rsid w:val="005D7E0A"/>
    <w:rsid w:val="005E6D70"/>
    <w:rsid w:val="006110CB"/>
    <w:rsid w:val="00642129"/>
    <w:rsid w:val="00672B84"/>
    <w:rsid w:val="00673E5D"/>
    <w:rsid w:val="00674BA3"/>
    <w:rsid w:val="006B3F21"/>
    <w:rsid w:val="006D6DC2"/>
    <w:rsid w:val="006D7E5A"/>
    <w:rsid w:val="006F177E"/>
    <w:rsid w:val="006F76EA"/>
    <w:rsid w:val="00700A04"/>
    <w:rsid w:val="00707B01"/>
    <w:rsid w:val="00734617"/>
    <w:rsid w:val="007475A2"/>
    <w:rsid w:val="007530E7"/>
    <w:rsid w:val="00760F46"/>
    <w:rsid w:val="007611AE"/>
    <w:rsid w:val="00785ECE"/>
    <w:rsid w:val="007A1ED4"/>
    <w:rsid w:val="007A3AF1"/>
    <w:rsid w:val="007B3D05"/>
    <w:rsid w:val="007B4D76"/>
    <w:rsid w:val="007D20B1"/>
    <w:rsid w:val="007F7516"/>
    <w:rsid w:val="00831C15"/>
    <w:rsid w:val="00841CF3"/>
    <w:rsid w:val="00843F95"/>
    <w:rsid w:val="00865797"/>
    <w:rsid w:val="008A0496"/>
    <w:rsid w:val="008E6C5A"/>
    <w:rsid w:val="008F4C8F"/>
    <w:rsid w:val="00930523"/>
    <w:rsid w:val="00961D37"/>
    <w:rsid w:val="009867A0"/>
    <w:rsid w:val="009B6FA9"/>
    <w:rsid w:val="009C1F2A"/>
    <w:rsid w:val="00A012CE"/>
    <w:rsid w:val="00A134B4"/>
    <w:rsid w:val="00A17BAD"/>
    <w:rsid w:val="00A608F4"/>
    <w:rsid w:val="00A6487F"/>
    <w:rsid w:val="00A74F0D"/>
    <w:rsid w:val="00A75D9C"/>
    <w:rsid w:val="00A8299A"/>
    <w:rsid w:val="00A878BC"/>
    <w:rsid w:val="00AA3F9A"/>
    <w:rsid w:val="00AC3875"/>
    <w:rsid w:val="00B3199B"/>
    <w:rsid w:val="00B32BDC"/>
    <w:rsid w:val="00B45BE6"/>
    <w:rsid w:val="00B6579A"/>
    <w:rsid w:val="00BD54CB"/>
    <w:rsid w:val="00C011C8"/>
    <w:rsid w:val="00C324B8"/>
    <w:rsid w:val="00C33253"/>
    <w:rsid w:val="00CB0504"/>
    <w:rsid w:val="00D13000"/>
    <w:rsid w:val="00D61DBE"/>
    <w:rsid w:val="00DA62FB"/>
    <w:rsid w:val="00DB29FD"/>
    <w:rsid w:val="00DB6873"/>
    <w:rsid w:val="00DB753C"/>
    <w:rsid w:val="00DC5697"/>
    <w:rsid w:val="00DD3719"/>
    <w:rsid w:val="00DD3F7F"/>
    <w:rsid w:val="00DD622F"/>
    <w:rsid w:val="00E07AE6"/>
    <w:rsid w:val="00E2148D"/>
    <w:rsid w:val="00E406A1"/>
    <w:rsid w:val="00E42481"/>
    <w:rsid w:val="00EE58F4"/>
    <w:rsid w:val="00EE6B50"/>
    <w:rsid w:val="00EF1566"/>
    <w:rsid w:val="00EF1ECF"/>
    <w:rsid w:val="00F14AAD"/>
    <w:rsid w:val="00F158DF"/>
    <w:rsid w:val="00F248AF"/>
    <w:rsid w:val="00F26405"/>
    <w:rsid w:val="00F329AD"/>
    <w:rsid w:val="00F92C82"/>
    <w:rsid w:val="00FA327E"/>
    <w:rsid w:val="00FA5DF5"/>
    <w:rsid w:val="00FE5600"/>
    <w:rsid w:val="00FE675E"/>
    <w:rsid w:val="00FF048B"/>
    <w:rsid w:val="00FF0F49"/>
    <w:rsid w:val="00FF2F1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E771-0EDA-448B-AA46-B1DFAAF1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8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44B38"/>
  </w:style>
  <w:style w:type="character" w:styleId="a4">
    <w:name w:val="Strong"/>
    <w:basedOn w:val="a0"/>
    <w:uiPriority w:val="22"/>
    <w:qFormat/>
    <w:rsid w:val="00044B38"/>
    <w:rPr>
      <w:b/>
      <w:bCs/>
    </w:rPr>
  </w:style>
  <w:style w:type="character" w:customStyle="1" w:styleId="dicexample">
    <w:name w:val="dic_example"/>
    <w:basedOn w:val="a0"/>
    <w:rsid w:val="00044B38"/>
  </w:style>
  <w:style w:type="character" w:styleId="a5">
    <w:name w:val="Emphasis"/>
    <w:basedOn w:val="a0"/>
    <w:uiPriority w:val="20"/>
    <w:qFormat/>
    <w:rsid w:val="00044B38"/>
    <w:rPr>
      <w:i/>
      <w:iCs/>
    </w:rPr>
  </w:style>
  <w:style w:type="character" w:styleId="a6">
    <w:name w:val="Hyperlink"/>
    <w:basedOn w:val="a0"/>
    <w:uiPriority w:val="99"/>
    <w:unhideWhenUsed/>
    <w:rsid w:val="00044B38"/>
    <w:rPr>
      <w:color w:val="0000FF"/>
      <w:u w:val="single"/>
    </w:rPr>
  </w:style>
  <w:style w:type="character" w:customStyle="1" w:styleId="src2">
    <w:name w:val="src2"/>
    <w:basedOn w:val="a0"/>
    <w:rsid w:val="00044B38"/>
  </w:style>
  <w:style w:type="paragraph" w:customStyle="1" w:styleId="src">
    <w:name w:val="src"/>
    <w:basedOn w:val="a"/>
    <w:rsid w:val="00044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a0"/>
    <w:rsid w:val="00044B38"/>
  </w:style>
  <w:style w:type="paragraph" w:styleId="a7">
    <w:name w:val="List Paragraph"/>
    <w:basedOn w:val="a"/>
    <w:uiPriority w:val="34"/>
    <w:qFormat/>
    <w:rsid w:val="000C194B"/>
    <w:pPr>
      <w:ind w:left="720"/>
      <w:contextualSpacing/>
    </w:pPr>
  </w:style>
  <w:style w:type="paragraph" w:styleId="a8">
    <w:name w:val="Title"/>
    <w:basedOn w:val="a"/>
    <w:link w:val="a9"/>
    <w:qFormat/>
    <w:rsid w:val="00A17BAD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A17B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A17B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BAD"/>
  </w:style>
  <w:style w:type="paragraph" w:styleId="ac">
    <w:name w:val="footer"/>
    <w:basedOn w:val="a"/>
    <w:link w:val="ad"/>
    <w:uiPriority w:val="99"/>
    <w:unhideWhenUsed/>
    <w:rsid w:val="00A17B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BAD"/>
  </w:style>
  <w:style w:type="paragraph" w:styleId="ae">
    <w:name w:val="Balloon Text"/>
    <w:basedOn w:val="a"/>
    <w:link w:val="af"/>
    <w:uiPriority w:val="99"/>
    <w:semiHidden/>
    <w:unhideWhenUsed/>
    <w:rsid w:val="00D130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3000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27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EE58F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бычный абзац"/>
    <w:basedOn w:val="a"/>
    <w:qFormat/>
    <w:rsid w:val="00EE58F4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"ПроектСвязьТелеком"</dc:creator>
  <cp:lastModifiedBy>Дегтярев</cp:lastModifiedBy>
  <cp:revision>9</cp:revision>
  <cp:lastPrinted>2018-06-29T11:07:00Z</cp:lastPrinted>
  <dcterms:created xsi:type="dcterms:W3CDTF">2018-06-29T07:52:00Z</dcterms:created>
  <dcterms:modified xsi:type="dcterms:W3CDTF">2018-06-29T13:25:00Z</dcterms:modified>
</cp:coreProperties>
</file>