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12" w:rsidRPr="00E43777" w:rsidRDefault="00E43777" w:rsidP="00E4377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43777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Коллеги,</w:t>
      </w:r>
    </w:p>
    <w:p w:rsidR="00E43777" w:rsidRPr="00E43777" w:rsidRDefault="00E43777" w:rsidP="00E43777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E43777">
        <w:rPr>
          <w:sz w:val="28"/>
          <w:szCs w:val="28"/>
        </w:rPr>
        <w:t>Мы с Вами определили основные задачи законопроекта:</w:t>
      </w:r>
    </w:p>
    <w:p w:rsidR="00E43777" w:rsidRPr="00E43777" w:rsidRDefault="00E43777" w:rsidP="00E43777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 w:rsidRPr="00E43777">
        <w:rPr>
          <w:sz w:val="28"/>
          <w:szCs w:val="28"/>
        </w:rPr>
        <w:t>-       </w:t>
      </w:r>
      <w:r w:rsidRPr="00E43777">
        <w:rPr>
          <w:rStyle w:val="apple-converted-space"/>
          <w:sz w:val="28"/>
          <w:szCs w:val="28"/>
        </w:rPr>
        <w:t> </w:t>
      </w:r>
      <w:r w:rsidRPr="00E43777">
        <w:rPr>
          <w:b/>
          <w:bCs/>
          <w:sz w:val="28"/>
          <w:szCs w:val="28"/>
        </w:rPr>
        <w:t>регулирование взаимодействия между различными субъектами инженерной (инжиниринговой) деятельности</w:t>
      </w:r>
      <w:r w:rsidRPr="00E43777">
        <w:rPr>
          <w:sz w:val="28"/>
          <w:szCs w:val="28"/>
        </w:rPr>
        <w:t>;</w:t>
      </w:r>
    </w:p>
    <w:p w:rsidR="00E43777" w:rsidRPr="00E43777" w:rsidRDefault="00E43777" w:rsidP="00E43777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 w:rsidRPr="00E43777">
        <w:rPr>
          <w:sz w:val="28"/>
          <w:szCs w:val="28"/>
        </w:rPr>
        <w:t>-       </w:t>
      </w:r>
      <w:r w:rsidRPr="00E43777">
        <w:rPr>
          <w:rStyle w:val="apple-converted-space"/>
          <w:sz w:val="28"/>
          <w:szCs w:val="28"/>
        </w:rPr>
        <w:t> </w:t>
      </w:r>
      <w:r w:rsidRPr="00E43777">
        <w:rPr>
          <w:sz w:val="28"/>
          <w:szCs w:val="28"/>
        </w:rPr>
        <w:t xml:space="preserve">определение полномочий органов государственной власти, местного самоуправления, </w:t>
      </w:r>
      <w:proofErr w:type="spellStart"/>
      <w:r w:rsidRPr="00E43777">
        <w:rPr>
          <w:sz w:val="28"/>
          <w:szCs w:val="28"/>
        </w:rPr>
        <w:t>саморегулируемых</w:t>
      </w:r>
      <w:proofErr w:type="spellEnd"/>
      <w:r w:rsidRPr="00E43777">
        <w:rPr>
          <w:sz w:val="28"/>
          <w:szCs w:val="28"/>
        </w:rPr>
        <w:t xml:space="preserve"> организаций в сфере инженерной (инжиниринговой)  деятельности;</w:t>
      </w:r>
    </w:p>
    <w:p w:rsidR="00E43777" w:rsidRPr="00E43777" w:rsidRDefault="00E43777" w:rsidP="00E43777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 w:rsidRPr="00E43777">
        <w:rPr>
          <w:sz w:val="28"/>
          <w:szCs w:val="28"/>
        </w:rPr>
        <w:t>-       </w:t>
      </w:r>
      <w:r w:rsidRPr="00E43777">
        <w:rPr>
          <w:rStyle w:val="apple-converted-space"/>
          <w:sz w:val="28"/>
          <w:szCs w:val="28"/>
        </w:rPr>
        <w:t> </w:t>
      </w:r>
      <w:r w:rsidRPr="00E43777">
        <w:rPr>
          <w:sz w:val="28"/>
          <w:szCs w:val="28"/>
        </w:rPr>
        <w:t>стимулирование развития инженерной (инжиниринговой) деятельности в Российской Федерации в целях достижения технологической независимости государства;</w:t>
      </w:r>
    </w:p>
    <w:p w:rsidR="00E43777" w:rsidRPr="00E43777" w:rsidRDefault="00E43777" w:rsidP="00E43777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 w:rsidRPr="00E43777">
        <w:rPr>
          <w:sz w:val="28"/>
          <w:szCs w:val="28"/>
        </w:rPr>
        <w:t>-       </w:t>
      </w:r>
      <w:r w:rsidRPr="00E43777">
        <w:rPr>
          <w:rStyle w:val="apple-converted-space"/>
          <w:sz w:val="28"/>
          <w:szCs w:val="28"/>
        </w:rPr>
        <w:t> </w:t>
      </w:r>
      <w:r w:rsidRPr="00E43777">
        <w:rPr>
          <w:sz w:val="28"/>
          <w:szCs w:val="28"/>
        </w:rPr>
        <w:t>фиксация стратегической значимости и повышение роли и статуса инженера и инженерной профессии в Российской Федерации.</w:t>
      </w:r>
    </w:p>
    <w:p w:rsidR="00E43777" w:rsidRPr="00E43777" w:rsidRDefault="00E43777" w:rsidP="00E43777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E43777">
        <w:rPr>
          <w:sz w:val="28"/>
          <w:szCs w:val="28"/>
        </w:rPr>
        <w:t> </w:t>
      </w:r>
    </w:p>
    <w:p w:rsidR="00E43777" w:rsidRPr="00E43777" w:rsidRDefault="00E43777" w:rsidP="00E43777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E43777">
        <w:rPr>
          <w:sz w:val="28"/>
          <w:szCs w:val="28"/>
        </w:rPr>
        <w:t>Поэтому в число ключевых вопросов при работе над</w:t>
      </w:r>
      <w:r w:rsidRPr="00E43777">
        <w:rPr>
          <w:rStyle w:val="apple-converted-space"/>
          <w:sz w:val="28"/>
          <w:szCs w:val="28"/>
        </w:rPr>
        <w:t> </w:t>
      </w:r>
      <w:r w:rsidRPr="00E43777">
        <w:rPr>
          <w:sz w:val="28"/>
          <w:szCs w:val="28"/>
          <w:lang w:val="en-US"/>
        </w:rPr>
        <w:t>V</w:t>
      </w:r>
      <w:r w:rsidRPr="00E43777">
        <w:rPr>
          <w:rStyle w:val="apple-converted-space"/>
          <w:sz w:val="28"/>
          <w:szCs w:val="28"/>
        </w:rPr>
        <w:t> </w:t>
      </w:r>
      <w:r w:rsidRPr="00E43777">
        <w:rPr>
          <w:sz w:val="28"/>
          <w:szCs w:val="28"/>
        </w:rPr>
        <w:t>3.0 законопроекта следует включить: «</w:t>
      </w:r>
      <w:proofErr w:type="spellStart"/>
      <w:r w:rsidRPr="00E43777">
        <w:rPr>
          <w:sz w:val="28"/>
          <w:szCs w:val="28"/>
        </w:rPr>
        <w:t>Рассмотрение</w:t>
      </w:r>
      <w:r w:rsidRPr="00E43777">
        <w:rPr>
          <w:b/>
          <w:bCs/>
          <w:sz w:val="28"/>
          <w:szCs w:val="28"/>
        </w:rPr>
        <w:t>инжиниринга</w:t>
      </w:r>
      <w:proofErr w:type="spellEnd"/>
      <w:r w:rsidRPr="00E43777">
        <w:rPr>
          <w:b/>
          <w:bCs/>
          <w:sz w:val="28"/>
          <w:szCs w:val="28"/>
        </w:rPr>
        <w:t>, как ПРИОРИТЕТНОГО  отдельного КОМПЛЕКСНОГО вид деятельности, регулирующее развитие Е</w:t>
      </w:r>
      <w:r w:rsidRPr="00E43777">
        <w:rPr>
          <w:b/>
          <w:bCs/>
          <w:sz w:val="28"/>
          <w:szCs w:val="28"/>
          <w:lang w:val="en-US"/>
        </w:rPr>
        <w:t>PC</w:t>
      </w:r>
      <w:r w:rsidRPr="00E43777">
        <w:rPr>
          <w:rStyle w:val="apple-converted-space"/>
          <w:b/>
          <w:bCs/>
          <w:sz w:val="28"/>
          <w:szCs w:val="28"/>
        </w:rPr>
        <w:t> </w:t>
      </w:r>
      <w:r w:rsidRPr="00E43777">
        <w:rPr>
          <w:b/>
          <w:bCs/>
          <w:sz w:val="28"/>
          <w:szCs w:val="28"/>
        </w:rPr>
        <w:t>(</w:t>
      </w:r>
      <w:r w:rsidRPr="00E43777">
        <w:rPr>
          <w:b/>
          <w:bCs/>
          <w:sz w:val="28"/>
          <w:szCs w:val="28"/>
          <w:lang w:val="en-US"/>
        </w:rPr>
        <w:t>M</w:t>
      </w:r>
      <w:r w:rsidRPr="00E43777">
        <w:rPr>
          <w:b/>
          <w:bCs/>
          <w:sz w:val="28"/>
          <w:szCs w:val="28"/>
        </w:rPr>
        <w:t xml:space="preserve">) </w:t>
      </w:r>
      <w:proofErr w:type="spellStart"/>
      <w:r w:rsidRPr="00E43777">
        <w:rPr>
          <w:b/>
          <w:bCs/>
          <w:sz w:val="28"/>
          <w:szCs w:val="28"/>
        </w:rPr>
        <w:t>контрактинга</w:t>
      </w:r>
      <w:proofErr w:type="spellEnd"/>
      <w:r w:rsidRPr="00E43777">
        <w:rPr>
          <w:b/>
          <w:bCs/>
          <w:sz w:val="28"/>
          <w:szCs w:val="28"/>
        </w:rPr>
        <w:t xml:space="preserve"> в РФ»</w:t>
      </w:r>
      <w:r w:rsidRPr="00E43777">
        <w:rPr>
          <w:rStyle w:val="apple-converted-space"/>
          <w:sz w:val="28"/>
          <w:szCs w:val="28"/>
        </w:rPr>
        <w:t> </w:t>
      </w:r>
      <w:r w:rsidRPr="00E43777">
        <w:rPr>
          <w:sz w:val="28"/>
          <w:szCs w:val="28"/>
        </w:rPr>
        <w:t xml:space="preserve">(см. Протокол №57 </w:t>
      </w:r>
      <w:proofErr w:type="spellStart"/>
      <w:r w:rsidRPr="00E43777">
        <w:rPr>
          <w:sz w:val="28"/>
          <w:szCs w:val="28"/>
        </w:rPr>
        <w:t>Минпромторга</w:t>
      </w:r>
      <w:proofErr w:type="spellEnd"/>
      <w:r w:rsidRPr="00E43777">
        <w:rPr>
          <w:sz w:val="28"/>
          <w:szCs w:val="28"/>
        </w:rPr>
        <w:t>). Это от нас с нетерпением ждут оставшиеся на плаву инжиниринговые компании России.</w:t>
      </w:r>
    </w:p>
    <w:p w:rsidR="00E43777" w:rsidRPr="00E43777" w:rsidRDefault="00E43777" w:rsidP="00E43777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E43777">
        <w:rPr>
          <w:sz w:val="28"/>
          <w:szCs w:val="28"/>
        </w:rPr>
        <w:t> </w:t>
      </w:r>
    </w:p>
    <w:p w:rsidR="00E43777" w:rsidRPr="00E43777" w:rsidRDefault="00E43777" w:rsidP="00E43777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E43777">
        <w:rPr>
          <w:b/>
          <w:bCs/>
          <w:sz w:val="28"/>
          <w:szCs w:val="28"/>
          <w:u w:val="single"/>
        </w:rPr>
        <w:t>Как отмечалось в Резолюции Круглого стола в Совете Федерации</w:t>
      </w:r>
      <w:r w:rsidRPr="00E43777">
        <w:rPr>
          <w:rStyle w:val="apple-converted-space"/>
          <w:sz w:val="28"/>
          <w:szCs w:val="28"/>
        </w:rPr>
        <w:t> </w:t>
      </w:r>
      <w:r w:rsidRPr="00E43777">
        <w:rPr>
          <w:sz w:val="28"/>
          <w:szCs w:val="28"/>
        </w:rPr>
        <w:t>(14.04.2014) в СФ РФ «Инженерное дело – основа экономики России»:</w:t>
      </w:r>
      <w:r w:rsidRPr="00E43777">
        <w:rPr>
          <w:rStyle w:val="apple-converted-space"/>
          <w:sz w:val="28"/>
          <w:szCs w:val="28"/>
        </w:rPr>
        <w:t> </w:t>
      </w:r>
      <w:r w:rsidRPr="00E43777">
        <w:rPr>
          <w:b/>
          <w:bCs/>
          <w:sz w:val="28"/>
          <w:szCs w:val="28"/>
        </w:rPr>
        <w:t>В России инжиниринг, как отдельный комплексный вид деятельности не квалифицирован и не узаконен</w:t>
      </w:r>
      <w:r w:rsidRPr="00E43777">
        <w:rPr>
          <w:sz w:val="28"/>
          <w:szCs w:val="28"/>
        </w:rPr>
        <w:t>. Инжиниринговые услуги не закреплены законодательно в ОКВЭД, статистика не ведется. </w:t>
      </w:r>
      <w:r w:rsidRPr="00E43777">
        <w:rPr>
          <w:rStyle w:val="apple-converted-space"/>
          <w:sz w:val="28"/>
          <w:szCs w:val="28"/>
        </w:rPr>
        <w:t> </w:t>
      </w:r>
      <w:r w:rsidRPr="00E43777">
        <w:rPr>
          <w:b/>
          <w:bCs/>
          <w:sz w:val="28"/>
          <w:szCs w:val="28"/>
        </w:rPr>
        <w:t>Инжиниринг, с современными инструментами управления, является интеллектуальным видом деятельности</w:t>
      </w:r>
      <w:r w:rsidRPr="00E43777">
        <w:rPr>
          <w:sz w:val="28"/>
          <w:szCs w:val="28"/>
        </w:rPr>
        <w:t>. Доля инжиниринга в ВВП развитых стран достигает 20%.</w:t>
      </w:r>
      <w:r w:rsidRPr="00E43777">
        <w:rPr>
          <w:rStyle w:val="apple-converted-space"/>
          <w:sz w:val="28"/>
          <w:szCs w:val="28"/>
        </w:rPr>
        <w:t> </w:t>
      </w:r>
      <w:r w:rsidRPr="00E43777">
        <w:rPr>
          <w:b/>
          <w:bCs/>
          <w:sz w:val="28"/>
          <w:szCs w:val="28"/>
        </w:rPr>
        <w:t>Реализация «дорожной карты» развития инжиниринга нацелена на формирования рынка комплексного инжиниринга.</w:t>
      </w:r>
      <w:r w:rsidRPr="00E43777">
        <w:rPr>
          <w:rStyle w:val="apple-converted-space"/>
          <w:b/>
          <w:bCs/>
          <w:sz w:val="28"/>
          <w:szCs w:val="28"/>
        </w:rPr>
        <w:t> </w:t>
      </w:r>
      <w:r w:rsidRPr="00E43777">
        <w:rPr>
          <w:sz w:val="28"/>
          <w:szCs w:val="28"/>
        </w:rPr>
        <w:t>Число  регистрированных инжиниринговых компаний в стране огромно, а</w:t>
      </w:r>
      <w:r w:rsidRPr="00E43777">
        <w:rPr>
          <w:rStyle w:val="apple-converted-space"/>
          <w:sz w:val="28"/>
          <w:szCs w:val="28"/>
        </w:rPr>
        <w:t> </w:t>
      </w:r>
      <w:r w:rsidRPr="00E43777">
        <w:rPr>
          <w:b/>
          <w:bCs/>
          <w:sz w:val="28"/>
          <w:szCs w:val="28"/>
        </w:rPr>
        <w:t>компаний полного цикла, готовых выполнить комплексные работы (EPCM –</w:t>
      </w:r>
      <w:proofErr w:type="spellStart"/>
      <w:r w:rsidRPr="00E43777">
        <w:rPr>
          <w:b/>
          <w:bCs/>
          <w:sz w:val="28"/>
          <w:szCs w:val="28"/>
        </w:rPr>
        <w:t>контракторов</w:t>
      </w:r>
      <w:proofErr w:type="spellEnd"/>
      <w:r w:rsidRPr="00E43777">
        <w:rPr>
          <w:b/>
          <w:bCs/>
          <w:sz w:val="28"/>
          <w:szCs w:val="28"/>
        </w:rPr>
        <w:t>) на два порядка меньше</w:t>
      </w:r>
      <w:r w:rsidRPr="00E43777">
        <w:rPr>
          <w:sz w:val="28"/>
          <w:szCs w:val="28"/>
        </w:rPr>
        <w:t xml:space="preserve">. </w:t>
      </w:r>
      <w:r w:rsidRPr="00E43777">
        <w:rPr>
          <w:sz w:val="28"/>
          <w:szCs w:val="28"/>
        </w:rPr>
        <w:lastRenderedPageBreak/>
        <w:t xml:space="preserve">Структура </w:t>
      </w:r>
      <w:proofErr w:type="spellStart"/>
      <w:r w:rsidRPr="00E43777">
        <w:rPr>
          <w:sz w:val="28"/>
          <w:szCs w:val="28"/>
        </w:rPr>
        <w:t>госконтрактов</w:t>
      </w:r>
      <w:proofErr w:type="spellEnd"/>
      <w:r w:rsidRPr="00E43777">
        <w:rPr>
          <w:sz w:val="28"/>
          <w:szCs w:val="28"/>
        </w:rPr>
        <w:t xml:space="preserve"> и устаревшая нормативная база не позволяет сегодня  проводить торги на </w:t>
      </w:r>
      <w:proofErr w:type="spellStart"/>
      <w:r w:rsidRPr="00E43777">
        <w:rPr>
          <w:sz w:val="28"/>
          <w:szCs w:val="28"/>
        </w:rPr>
        <w:t>EPCМ-контракты</w:t>
      </w:r>
      <w:proofErr w:type="spellEnd"/>
      <w:r w:rsidRPr="00E43777">
        <w:rPr>
          <w:sz w:val="28"/>
          <w:szCs w:val="28"/>
        </w:rPr>
        <w:t xml:space="preserve"> комплексно.</w:t>
      </w:r>
      <w:r w:rsidRPr="00E43777">
        <w:rPr>
          <w:rStyle w:val="apple-converted-space"/>
          <w:sz w:val="28"/>
          <w:szCs w:val="28"/>
        </w:rPr>
        <w:t> </w:t>
      </w:r>
      <w:r w:rsidRPr="00E43777">
        <w:rPr>
          <w:b/>
          <w:bCs/>
          <w:sz w:val="28"/>
          <w:szCs w:val="28"/>
        </w:rPr>
        <w:t>Комплексная инжиниринговая деятельность должна стать приоритетной по сравнению с другими видами работ.</w:t>
      </w:r>
      <w:r w:rsidRPr="00E43777">
        <w:rPr>
          <w:rStyle w:val="apple-converted-space"/>
          <w:b/>
          <w:bCs/>
          <w:sz w:val="28"/>
          <w:szCs w:val="28"/>
        </w:rPr>
        <w:t> </w:t>
      </w:r>
      <w:r w:rsidRPr="00E43777">
        <w:rPr>
          <w:sz w:val="28"/>
          <w:szCs w:val="28"/>
        </w:rPr>
        <w:t>Российская правовая парадигма пока ориентирована на простую подрядную схему, исключая совместную деятельность заказчика и  подрядчика.</w:t>
      </w:r>
      <w:r w:rsidRPr="00E43777">
        <w:rPr>
          <w:rStyle w:val="apple-converted-space"/>
          <w:sz w:val="28"/>
          <w:szCs w:val="28"/>
        </w:rPr>
        <w:t> </w:t>
      </w:r>
      <w:r w:rsidRPr="00E43777">
        <w:rPr>
          <w:b/>
          <w:bCs/>
          <w:sz w:val="28"/>
          <w:szCs w:val="28"/>
        </w:rPr>
        <w:t>Заказчик вынужден дробить проект на лоты по видам работ, не получая, с одной стороны, комплексного продукта, а подрядчик прибыли от эффективного управления проектом.</w:t>
      </w:r>
      <w:r w:rsidRPr="00E43777">
        <w:rPr>
          <w:rStyle w:val="apple-converted-space"/>
          <w:sz w:val="28"/>
          <w:szCs w:val="28"/>
        </w:rPr>
        <w:t> </w:t>
      </w:r>
      <w:r w:rsidRPr="00E43777">
        <w:rPr>
          <w:sz w:val="28"/>
          <w:szCs w:val="28"/>
        </w:rPr>
        <w:t>Заказчик не может поделиться с подрядчиком прибылью от снижения затрат на реализацию проекта. Требуется разработка механизма распределения сэкономленных средств между заказчиком и  инжиниринговой компанией, возможность премирования генподрядчика.</w:t>
      </w:r>
    </w:p>
    <w:p w:rsidR="00E43777" w:rsidRPr="00E43777" w:rsidRDefault="00E43777" w:rsidP="00E43777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E43777">
        <w:rPr>
          <w:sz w:val="28"/>
          <w:szCs w:val="28"/>
        </w:rPr>
        <w:t> </w:t>
      </w:r>
    </w:p>
    <w:p w:rsidR="00E43777" w:rsidRPr="00E43777" w:rsidRDefault="00E43777" w:rsidP="00E43777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E43777">
        <w:rPr>
          <w:sz w:val="28"/>
          <w:szCs w:val="28"/>
          <w:u w:val="single"/>
        </w:rPr>
        <w:t>За рубежом</w:t>
      </w:r>
      <w:r w:rsidRPr="00E43777">
        <w:rPr>
          <w:rStyle w:val="apple-converted-space"/>
          <w:sz w:val="28"/>
          <w:szCs w:val="28"/>
          <w:u w:val="single"/>
        </w:rPr>
        <w:t> </w:t>
      </w:r>
      <w:r w:rsidRPr="00E43777">
        <w:rPr>
          <w:b/>
          <w:bCs/>
          <w:sz w:val="28"/>
          <w:szCs w:val="28"/>
          <w:u w:val="single"/>
        </w:rPr>
        <w:t>за последние 30-50 лет сформировалась</w:t>
      </w:r>
      <w:r w:rsidRPr="00E43777">
        <w:rPr>
          <w:rStyle w:val="apple-converted-space"/>
          <w:sz w:val="28"/>
          <w:szCs w:val="28"/>
          <w:u w:val="single"/>
        </w:rPr>
        <w:t> </w:t>
      </w:r>
      <w:r w:rsidRPr="00E43777">
        <w:rPr>
          <w:b/>
          <w:bCs/>
          <w:sz w:val="28"/>
          <w:szCs w:val="28"/>
          <w:u w:val="single"/>
        </w:rPr>
        <w:t>бизнес технология инжиниринга</w:t>
      </w:r>
      <w:r w:rsidRPr="00E43777">
        <w:rPr>
          <w:sz w:val="28"/>
          <w:szCs w:val="28"/>
          <w:u w:val="single"/>
        </w:rPr>
        <w:t>, основанная</w:t>
      </w:r>
      <w:r w:rsidRPr="00E43777">
        <w:rPr>
          <w:rStyle w:val="apple-converted-space"/>
          <w:sz w:val="28"/>
          <w:szCs w:val="28"/>
          <w:u w:val="single"/>
        </w:rPr>
        <w:t> </w:t>
      </w:r>
      <w:r w:rsidRPr="00E43777">
        <w:rPr>
          <w:b/>
          <w:bCs/>
          <w:sz w:val="28"/>
          <w:szCs w:val="28"/>
          <w:u w:val="single"/>
        </w:rPr>
        <w:t>НА КОМПЛЕКСНОМ ФОРМАТЕ РЕАЛИЗАЦИИ ПРОЕКТОВ</w:t>
      </w:r>
      <w:r w:rsidRPr="00E43777">
        <w:rPr>
          <w:sz w:val="28"/>
          <w:szCs w:val="28"/>
          <w:u w:val="single"/>
        </w:rPr>
        <w:t xml:space="preserve">. </w:t>
      </w:r>
      <w:proofErr w:type="spellStart"/>
      <w:r w:rsidRPr="00E43777">
        <w:rPr>
          <w:sz w:val="28"/>
          <w:szCs w:val="28"/>
          <w:u w:val="single"/>
        </w:rPr>
        <w:t>ЕРСМ-контракт</w:t>
      </w:r>
      <w:proofErr w:type="spellEnd"/>
      <w:r w:rsidRPr="00E43777">
        <w:rPr>
          <w:sz w:val="28"/>
          <w:szCs w:val="28"/>
          <w:u w:val="single"/>
        </w:rPr>
        <w:t xml:space="preserve"> позволяет управлять полным циклом работ по проекту, а не конкретными работами</w:t>
      </w:r>
      <w:r w:rsidRPr="00E43777">
        <w:rPr>
          <w:sz w:val="28"/>
          <w:szCs w:val="28"/>
        </w:rPr>
        <w:t xml:space="preserve">. </w:t>
      </w:r>
      <w:proofErr w:type="spellStart"/>
      <w:r w:rsidRPr="00E43777">
        <w:rPr>
          <w:sz w:val="28"/>
          <w:szCs w:val="28"/>
        </w:rPr>
        <w:t>EPC-контрактор</w:t>
      </w:r>
      <w:proofErr w:type="spellEnd"/>
      <w:r w:rsidRPr="00E43777">
        <w:rPr>
          <w:sz w:val="28"/>
          <w:szCs w:val="28"/>
        </w:rPr>
        <w:t xml:space="preserve"> (подрядчик) должен заранее учесть все возможные риски. В результате сокращаются сроки и затраты на реализацию проекта. В России распространение </w:t>
      </w:r>
      <w:proofErr w:type="spellStart"/>
      <w:r w:rsidRPr="00E43777">
        <w:rPr>
          <w:sz w:val="28"/>
          <w:szCs w:val="28"/>
        </w:rPr>
        <w:t>EPCМ-контрактов</w:t>
      </w:r>
      <w:proofErr w:type="spellEnd"/>
      <w:r w:rsidRPr="00E43777">
        <w:rPr>
          <w:sz w:val="28"/>
          <w:szCs w:val="28"/>
        </w:rPr>
        <w:t xml:space="preserve"> носит ограниченный характер. Их практикуют пока частные компании.  В системе бюджетных организаций доминирует советская сметная система. Работа по стандартам FIDIC сдерживается слабой </w:t>
      </w:r>
      <w:proofErr w:type="spellStart"/>
      <w:r w:rsidRPr="00E43777">
        <w:rPr>
          <w:sz w:val="28"/>
          <w:szCs w:val="28"/>
        </w:rPr>
        <w:t>адаптированностью</w:t>
      </w:r>
      <w:proofErr w:type="spellEnd"/>
      <w:r w:rsidRPr="00E43777">
        <w:rPr>
          <w:sz w:val="28"/>
          <w:szCs w:val="28"/>
        </w:rPr>
        <w:t xml:space="preserve"> российской правовой системы. Договора FIDIC содержат множество правовых терминов и механизмов, не известных российскому праву, либо с содержанием, отличным от предусматриваемого российским правом. Необходима разработка механизмов обеспечивающих выполнение комплексных проектов в </w:t>
      </w:r>
      <w:proofErr w:type="spellStart"/>
      <w:r w:rsidRPr="00E43777">
        <w:rPr>
          <w:sz w:val="28"/>
          <w:szCs w:val="28"/>
        </w:rPr>
        <w:t>EPCМ-формате</w:t>
      </w:r>
      <w:proofErr w:type="spellEnd"/>
      <w:r w:rsidRPr="00E43777">
        <w:rPr>
          <w:sz w:val="28"/>
          <w:szCs w:val="28"/>
        </w:rPr>
        <w:t xml:space="preserve">, создания объектов по федеральному заказу с привлечением инжиниринговых компаний на нулевом этапе. В этой связи следует признать актуальной работу </w:t>
      </w:r>
      <w:proofErr w:type="spellStart"/>
      <w:r w:rsidRPr="00E43777">
        <w:rPr>
          <w:sz w:val="28"/>
          <w:szCs w:val="28"/>
        </w:rPr>
        <w:t>Минпромторга</w:t>
      </w:r>
      <w:proofErr w:type="spellEnd"/>
      <w:r w:rsidRPr="00E43777">
        <w:rPr>
          <w:sz w:val="28"/>
          <w:szCs w:val="28"/>
        </w:rPr>
        <w:t xml:space="preserve"> по разработке инструментов стимулирования и локализации EPC(M)-опыта зарубежных лидеров, создания национальных </w:t>
      </w:r>
      <w:proofErr w:type="spellStart"/>
      <w:r w:rsidRPr="00E43777">
        <w:rPr>
          <w:sz w:val="28"/>
          <w:szCs w:val="28"/>
        </w:rPr>
        <w:t>EPCM-контракторов</w:t>
      </w:r>
      <w:proofErr w:type="spellEnd"/>
      <w:r w:rsidRPr="00E43777">
        <w:rPr>
          <w:sz w:val="28"/>
          <w:szCs w:val="28"/>
        </w:rPr>
        <w:t xml:space="preserve"> - лидеров в приоритетных отраслевых сегментах.</w:t>
      </w:r>
    </w:p>
    <w:p w:rsidR="00E43777" w:rsidRPr="00E43777" w:rsidRDefault="00E43777" w:rsidP="00E43777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E43777">
        <w:rPr>
          <w:sz w:val="28"/>
          <w:szCs w:val="28"/>
        </w:rPr>
        <w:t> </w:t>
      </w:r>
    </w:p>
    <w:p w:rsidR="00E43777" w:rsidRPr="00E43777" w:rsidRDefault="00E43777" w:rsidP="00E43777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E43777">
        <w:rPr>
          <w:b/>
          <w:bCs/>
          <w:sz w:val="28"/>
          <w:szCs w:val="28"/>
          <w:u w:val="single"/>
        </w:rPr>
        <w:t>Проблемы локальной монополизации рынков</w:t>
      </w:r>
      <w:r w:rsidRPr="00E43777">
        <w:rPr>
          <w:sz w:val="28"/>
          <w:szCs w:val="28"/>
        </w:rPr>
        <w:t xml:space="preserve">. На рынке инфраструктурного строительства прослеживается тренд - крупные </w:t>
      </w:r>
      <w:r w:rsidRPr="00E43777">
        <w:rPr>
          <w:sz w:val="28"/>
          <w:szCs w:val="28"/>
        </w:rPr>
        <w:lastRenderedPageBreak/>
        <w:t xml:space="preserve">компании-заказчики создают </w:t>
      </w:r>
      <w:proofErr w:type="spellStart"/>
      <w:r w:rsidRPr="00E43777">
        <w:rPr>
          <w:sz w:val="28"/>
          <w:szCs w:val="28"/>
        </w:rPr>
        <w:t>аффилированные</w:t>
      </w:r>
      <w:proofErr w:type="spellEnd"/>
      <w:r w:rsidRPr="00E43777">
        <w:rPr>
          <w:sz w:val="28"/>
          <w:szCs w:val="28"/>
        </w:rPr>
        <w:t xml:space="preserve"> инженерные подразделения, отбирая функции управления проектом у внешнего EPCM-контактора. Заказчик как правило не обладает достаточным набором компетенций и опытом, слабо представляет наилучшие достижимыми технологии на рынке. В результате наработанный опыт не имеет продолжения для тиражирования на другие инфраструктурные проекты, а инжиниринговые компании теряют рентабельность и возможность своего развития. Происходит локальная монополизация, рынок инжиниринга сжимается, стоимость  строительства растет, эффективность реализации </w:t>
      </w:r>
      <w:proofErr w:type="spellStart"/>
      <w:r w:rsidRPr="00E43777">
        <w:rPr>
          <w:sz w:val="28"/>
          <w:szCs w:val="28"/>
        </w:rPr>
        <w:t>инвестпроектов</w:t>
      </w:r>
      <w:proofErr w:type="spellEnd"/>
      <w:r w:rsidRPr="00E43777">
        <w:rPr>
          <w:sz w:val="28"/>
          <w:szCs w:val="28"/>
        </w:rPr>
        <w:t xml:space="preserve"> падает, профессионализм и конкуренция на рынке инжиниринга снижаются. Это система порочна т.к. нацелена на «освоение средств», а не сокращение издержек и затрат. При таком подходе трудно вырастить отраслевых лидеров -  конкурентоспособных национальных </w:t>
      </w:r>
      <w:proofErr w:type="spellStart"/>
      <w:r w:rsidRPr="00E43777">
        <w:rPr>
          <w:sz w:val="28"/>
          <w:szCs w:val="28"/>
        </w:rPr>
        <w:t>ЕРС-контракторов</w:t>
      </w:r>
      <w:proofErr w:type="spellEnd"/>
      <w:r w:rsidRPr="00E43777">
        <w:rPr>
          <w:sz w:val="28"/>
          <w:szCs w:val="28"/>
        </w:rPr>
        <w:t>. </w:t>
      </w:r>
    </w:p>
    <w:p w:rsidR="00E43777" w:rsidRPr="00E43777" w:rsidRDefault="00E43777" w:rsidP="00E43777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E43777">
        <w:rPr>
          <w:sz w:val="28"/>
          <w:szCs w:val="28"/>
        </w:rPr>
        <w:t> </w:t>
      </w:r>
    </w:p>
    <w:p w:rsidR="00E43777" w:rsidRPr="00E43777" w:rsidRDefault="00E43777" w:rsidP="00E43777">
      <w:pPr>
        <w:pStyle w:val="a3"/>
        <w:shd w:val="clear" w:color="auto" w:fill="FFFFFF"/>
        <w:spacing w:line="276" w:lineRule="auto"/>
        <w:jc w:val="both"/>
        <w:rPr>
          <w:sz w:val="28"/>
          <w:szCs w:val="28"/>
        </w:rPr>
      </w:pPr>
      <w:r w:rsidRPr="00E43777">
        <w:rPr>
          <w:b/>
          <w:bCs/>
          <w:sz w:val="28"/>
          <w:szCs w:val="28"/>
          <w:u w:val="single"/>
        </w:rPr>
        <w:t>Нуждается в совершенствовании взаимодействие ИК с финансовыми институтами по системе кредитования инжиниринговых компаний</w:t>
      </w:r>
      <w:r w:rsidRPr="00E43777">
        <w:rPr>
          <w:sz w:val="28"/>
          <w:szCs w:val="28"/>
        </w:rPr>
        <w:t>. Условия кредитования инжиниринговых компании и стоимость банковских продуктов, а также страховки, делает сегодня инжиниринг как бизнес нерентабельным. Заказчики, страхуясь от недобросовестных инжиниринговых компаний, требуют дополнительного финансового обеспечения на разных этапах проекта – от заявочного обеспечения, до гарантий на период исполнения работ. Требуют банковские гарантии на аванс, возврат, гарантию на год- два на гарантийное обслуживание. Гарантия – это тоже финансовая нагрузка на достаточно маленькую маржу от инжиниринговой деятельности. Банки в инжиниринг, как в бизнес, мало верят, поэтому поднимают стоимость денег, которые соразмерны банковским ставками. Вопрос страхования рисков и восприятия этого рынка проработан слабо.  По этим двум компонентам российские компании существенно отстают от западных инжиниринговых компаний. Назрела необходимость создания и развитие системы предоставления финансовых гарантий и страхования рисков по инжиниринговым проектам.</w:t>
      </w:r>
    </w:p>
    <w:p w:rsidR="00E43777" w:rsidRPr="00E43777" w:rsidRDefault="00E43777"/>
    <w:sectPr w:rsidR="00E43777" w:rsidRPr="00E43777" w:rsidSect="0029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777"/>
    <w:rsid w:val="00295C1A"/>
    <w:rsid w:val="00451E1C"/>
    <w:rsid w:val="00507928"/>
    <w:rsid w:val="00E4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3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4937</Characters>
  <Application>Microsoft Office Word</Application>
  <DocSecurity>0</DocSecurity>
  <Lines>41</Lines>
  <Paragraphs>11</Paragraphs>
  <ScaleCrop>false</ScaleCrop>
  <Company>Сервис ВМФ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Ходырев В.И.</dc:creator>
  <cp:keywords/>
  <dc:description/>
  <cp:lastModifiedBy>Ходырев В.И.</cp:lastModifiedBy>
  <cp:revision>2</cp:revision>
  <dcterms:created xsi:type="dcterms:W3CDTF">2016-02-26T13:11:00Z</dcterms:created>
  <dcterms:modified xsi:type="dcterms:W3CDTF">2016-02-26T13:13:00Z</dcterms:modified>
</cp:coreProperties>
</file>